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64" w:type="dxa"/>
        <w:tblLayout w:type="fixed"/>
        <w:tblLook w:val="0000" w:firstRow="0" w:lastRow="0" w:firstColumn="0" w:lastColumn="0" w:noHBand="0" w:noVBand="0"/>
      </w:tblPr>
      <w:tblGrid>
        <w:gridCol w:w="3456"/>
        <w:gridCol w:w="5441"/>
        <w:gridCol w:w="67"/>
      </w:tblGrid>
      <w:tr w:rsidR="002A2389" w:rsidTr="00442804">
        <w:tc>
          <w:tcPr>
            <w:tcW w:w="3456" w:type="dxa"/>
            <w:tcBorders>
              <w:bottom w:val="single" w:sz="18" w:space="0" w:color="auto"/>
            </w:tcBorders>
          </w:tcPr>
          <w:p w:rsidR="002A2389" w:rsidRPr="00D32B51" w:rsidRDefault="00D32B51">
            <w:pPr>
              <w:pStyle w:val="Infotext"/>
              <w:rPr>
                <w:rFonts w:ascii="Arial Black" w:hAnsi="Arial Black"/>
                <w:color w:val="999999"/>
                <w:sz w:val="36"/>
                <w:szCs w:val="36"/>
              </w:rPr>
            </w:pPr>
            <w:r w:rsidRPr="00D32B51">
              <w:rPr>
                <w:rFonts w:ascii="Arial Black" w:hAnsi="Arial Black"/>
                <w:color w:val="999999"/>
                <w:sz w:val="36"/>
                <w:szCs w:val="36"/>
              </w:rPr>
              <w:t>REPORT FOR</w:t>
            </w:r>
            <w:r w:rsidR="002A2389" w:rsidRPr="00D32B51">
              <w:rPr>
                <w:rFonts w:ascii="Arial Black" w:hAnsi="Arial Black"/>
                <w:color w:val="999999"/>
                <w:sz w:val="36"/>
                <w:szCs w:val="36"/>
              </w:rPr>
              <w:t>:</w:t>
            </w:r>
          </w:p>
          <w:p w:rsidR="002A2389" w:rsidRPr="00F92398" w:rsidRDefault="002A2389">
            <w:pPr>
              <w:pStyle w:val="Infotext"/>
              <w:rPr>
                <w:rFonts w:ascii="Arial Black" w:hAnsi="Arial Black" w:cs="Arial"/>
              </w:rPr>
            </w:pPr>
          </w:p>
        </w:tc>
        <w:tc>
          <w:tcPr>
            <w:tcW w:w="5508" w:type="dxa"/>
            <w:gridSpan w:val="2"/>
            <w:tcBorders>
              <w:bottom w:val="single" w:sz="18" w:space="0" w:color="auto"/>
            </w:tcBorders>
          </w:tcPr>
          <w:p w:rsidR="002C1794" w:rsidRPr="00BE1C78" w:rsidRDefault="00BE1C78" w:rsidP="00D32B51">
            <w:pPr>
              <w:pStyle w:val="Infotext"/>
              <w:rPr>
                <w:rFonts w:ascii="Arial Black" w:hAnsi="Arial Black" w:cs="Arial"/>
                <w:sz w:val="36"/>
                <w:szCs w:val="36"/>
              </w:rPr>
            </w:pPr>
            <w:r w:rsidRPr="00BE1C78">
              <w:rPr>
                <w:rFonts w:ascii="Arial Black" w:hAnsi="Arial Black" w:cs="Arial"/>
                <w:sz w:val="36"/>
                <w:szCs w:val="36"/>
              </w:rPr>
              <w:t>HEALTH AND WELLBEING BOARD</w:t>
            </w:r>
          </w:p>
        </w:tc>
      </w:tr>
      <w:tr w:rsidR="002A2389" w:rsidTr="00442804">
        <w:tc>
          <w:tcPr>
            <w:tcW w:w="3456" w:type="dxa"/>
            <w:tcBorders>
              <w:top w:val="single" w:sz="18" w:space="0" w:color="auto"/>
            </w:tcBorders>
          </w:tcPr>
          <w:p w:rsidR="002A2389" w:rsidRPr="00F92398" w:rsidRDefault="002A2389" w:rsidP="00442804">
            <w:pPr>
              <w:pStyle w:val="Infotext"/>
              <w:spacing w:line="360" w:lineRule="auto"/>
              <w:rPr>
                <w:rFonts w:ascii="Arial Black" w:hAnsi="Arial Black" w:cs="Arial"/>
              </w:rPr>
            </w:pPr>
            <w:r w:rsidRPr="00F92398">
              <w:rPr>
                <w:rFonts w:ascii="Arial Black" w:hAnsi="Arial Black"/>
              </w:rPr>
              <w:t>Date</w:t>
            </w:r>
            <w:r w:rsidR="00AA4BE8">
              <w:rPr>
                <w:rFonts w:ascii="Arial Black" w:hAnsi="Arial Black"/>
              </w:rPr>
              <w:t xml:space="preserve"> of Meeting</w:t>
            </w:r>
            <w:r w:rsidRPr="00F92398">
              <w:rPr>
                <w:rFonts w:ascii="Arial Black" w:hAnsi="Arial Black"/>
              </w:rPr>
              <w:t>:</w:t>
            </w:r>
          </w:p>
        </w:tc>
        <w:tc>
          <w:tcPr>
            <w:tcW w:w="5508" w:type="dxa"/>
            <w:gridSpan w:val="2"/>
            <w:tcBorders>
              <w:top w:val="single" w:sz="18" w:space="0" w:color="auto"/>
            </w:tcBorders>
          </w:tcPr>
          <w:p w:rsidR="002A2389" w:rsidRDefault="00670B58" w:rsidP="006C7B29">
            <w:pPr>
              <w:pStyle w:val="Infotext"/>
              <w:spacing w:line="360" w:lineRule="auto"/>
              <w:rPr>
                <w:rFonts w:cs="Arial"/>
              </w:rPr>
            </w:pPr>
            <w:r>
              <w:rPr>
                <w:rFonts w:cs="Arial"/>
              </w:rPr>
              <w:t xml:space="preserve">8 </w:t>
            </w:r>
            <w:r w:rsidR="006C7B29">
              <w:rPr>
                <w:rFonts w:cs="Arial"/>
              </w:rPr>
              <w:t>March</w:t>
            </w:r>
            <w:r w:rsidR="00620644">
              <w:rPr>
                <w:rFonts w:cs="Arial"/>
              </w:rPr>
              <w:t xml:space="preserve"> 20</w:t>
            </w:r>
            <w:r w:rsidR="00B34830">
              <w:rPr>
                <w:rFonts w:cs="Arial"/>
              </w:rPr>
              <w:t>1</w:t>
            </w:r>
            <w:r w:rsidR="006C7B29">
              <w:rPr>
                <w:rFonts w:cs="Arial"/>
              </w:rPr>
              <w:t>8</w:t>
            </w:r>
          </w:p>
        </w:tc>
      </w:tr>
      <w:tr w:rsidR="002A2389" w:rsidTr="00442804">
        <w:tc>
          <w:tcPr>
            <w:tcW w:w="3456" w:type="dxa"/>
          </w:tcPr>
          <w:p w:rsidR="002A2389" w:rsidRPr="00F92398" w:rsidRDefault="002A2389" w:rsidP="00442804">
            <w:pPr>
              <w:pStyle w:val="Infotext"/>
              <w:spacing w:line="360" w:lineRule="auto"/>
              <w:rPr>
                <w:rFonts w:ascii="Arial Black" w:hAnsi="Arial Black"/>
              </w:rPr>
            </w:pPr>
            <w:r w:rsidRPr="00F92398">
              <w:rPr>
                <w:rFonts w:ascii="Arial Black" w:hAnsi="Arial Black" w:cs="Arial"/>
              </w:rPr>
              <w:t>Subject:</w:t>
            </w:r>
          </w:p>
        </w:tc>
        <w:tc>
          <w:tcPr>
            <w:tcW w:w="5508" w:type="dxa"/>
            <w:gridSpan w:val="2"/>
          </w:tcPr>
          <w:p w:rsidR="002A2389" w:rsidRDefault="00E442FA" w:rsidP="00442804">
            <w:pPr>
              <w:pStyle w:val="Infotext"/>
              <w:spacing w:line="360" w:lineRule="auto"/>
              <w:rPr>
                <w:rFonts w:cs="Arial"/>
              </w:rPr>
            </w:pPr>
            <w:r>
              <w:rPr>
                <w:rFonts w:cs="Arial"/>
              </w:rPr>
              <w:t>Pharmaceutical Needs Assessment 2018</w:t>
            </w:r>
          </w:p>
        </w:tc>
      </w:tr>
      <w:tr w:rsidR="002A2389" w:rsidTr="00442804">
        <w:tc>
          <w:tcPr>
            <w:tcW w:w="3456" w:type="dxa"/>
          </w:tcPr>
          <w:p w:rsidR="002A2389" w:rsidRPr="00F92398" w:rsidRDefault="002A2389" w:rsidP="00442804">
            <w:pPr>
              <w:pStyle w:val="Infotext"/>
              <w:spacing w:line="360" w:lineRule="auto"/>
              <w:rPr>
                <w:rFonts w:ascii="Arial Black" w:hAnsi="Arial Black" w:cs="Arial"/>
              </w:rPr>
            </w:pPr>
            <w:r w:rsidRPr="00F92398">
              <w:rPr>
                <w:rFonts w:ascii="Arial Black" w:hAnsi="Arial Black" w:cs="Arial"/>
              </w:rPr>
              <w:t>Responsible Officer:</w:t>
            </w:r>
          </w:p>
          <w:p w:rsidR="002A2389" w:rsidRPr="00F92398" w:rsidRDefault="002A2389" w:rsidP="00442804">
            <w:pPr>
              <w:pStyle w:val="Infotext"/>
              <w:spacing w:line="360" w:lineRule="auto"/>
              <w:rPr>
                <w:rFonts w:ascii="Arial Black" w:hAnsi="Arial Black" w:cs="Arial"/>
              </w:rPr>
            </w:pPr>
          </w:p>
        </w:tc>
        <w:tc>
          <w:tcPr>
            <w:tcW w:w="5508" w:type="dxa"/>
            <w:gridSpan w:val="2"/>
          </w:tcPr>
          <w:p w:rsidR="00620644" w:rsidRDefault="004F7CF7" w:rsidP="00442804">
            <w:pPr>
              <w:pStyle w:val="Infotext"/>
              <w:spacing w:line="360" w:lineRule="auto"/>
              <w:rPr>
                <w:rFonts w:cs="Arial"/>
              </w:rPr>
            </w:pPr>
            <w:r>
              <w:rPr>
                <w:rFonts w:cs="Arial"/>
              </w:rPr>
              <w:t>Carole Furlong</w:t>
            </w:r>
            <w:r w:rsidR="00620644">
              <w:rPr>
                <w:rFonts w:cs="Arial"/>
              </w:rPr>
              <w:t xml:space="preserve">, </w:t>
            </w:r>
          </w:p>
          <w:p w:rsidR="007D56C8" w:rsidRDefault="004F7CF7" w:rsidP="004F7CF7">
            <w:pPr>
              <w:pStyle w:val="Infotext"/>
              <w:spacing w:line="360" w:lineRule="auto"/>
              <w:rPr>
                <w:rFonts w:cs="Arial"/>
              </w:rPr>
            </w:pPr>
            <w:r>
              <w:rPr>
                <w:rFonts w:cs="Arial"/>
              </w:rPr>
              <w:t xml:space="preserve">Designate </w:t>
            </w:r>
            <w:r w:rsidR="00620644">
              <w:rPr>
                <w:rFonts w:cs="Arial"/>
              </w:rPr>
              <w:t>Director of</w:t>
            </w:r>
            <w:r w:rsidR="00E442FA">
              <w:rPr>
                <w:rFonts w:cs="Arial"/>
              </w:rPr>
              <w:t xml:space="preserve"> Public Health, LB Harrow</w:t>
            </w:r>
          </w:p>
        </w:tc>
      </w:tr>
      <w:tr w:rsidR="002A2389" w:rsidTr="00442804">
        <w:tc>
          <w:tcPr>
            <w:tcW w:w="3456" w:type="dxa"/>
          </w:tcPr>
          <w:p w:rsidR="002A2389" w:rsidRPr="00F92398" w:rsidRDefault="00BE1C78" w:rsidP="00442804">
            <w:pPr>
              <w:pStyle w:val="Infotext"/>
              <w:spacing w:line="360" w:lineRule="auto"/>
              <w:rPr>
                <w:rFonts w:ascii="Arial Black" w:hAnsi="Arial Black" w:cs="Arial"/>
              </w:rPr>
            </w:pPr>
            <w:r>
              <w:rPr>
                <w:rFonts w:ascii="Arial Black" w:hAnsi="Arial Black" w:cs="Arial"/>
              </w:rPr>
              <w:t>Public</w:t>
            </w:r>
            <w:r w:rsidR="002A2389" w:rsidRPr="00F92398">
              <w:rPr>
                <w:rFonts w:ascii="Arial Black" w:hAnsi="Arial Black" w:cs="Arial"/>
              </w:rPr>
              <w:t>:</w:t>
            </w:r>
          </w:p>
        </w:tc>
        <w:tc>
          <w:tcPr>
            <w:tcW w:w="5508" w:type="dxa"/>
            <w:gridSpan w:val="2"/>
          </w:tcPr>
          <w:p w:rsidR="002A2389" w:rsidRDefault="00E442FA" w:rsidP="00442804">
            <w:pPr>
              <w:pStyle w:val="Infotext"/>
              <w:spacing w:line="360" w:lineRule="auto"/>
              <w:rPr>
                <w:rFonts w:cs="Arial"/>
              </w:rPr>
            </w:pPr>
            <w:r>
              <w:rPr>
                <w:rFonts w:cs="Arial"/>
              </w:rPr>
              <w:t>Yes</w:t>
            </w:r>
          </w:p>
        </w:tc>
      </w:tr>
      <w:tr w:rsidR="00A51FAE" w:rsidTr="00442804">
        <w:tc>
          <w:tcPr>
            <w:tcW w:w="3456" w:type="dxa"/>
          </w:tcPr>
          <w:p w:rsidR="00A51FAE" w:rsidRPr="00F92398" w:rsidRDefault="00A51FAE" w:rsidP="00442804">
            <w:pPr>
              <w:pStyle w:val="Infotext"/>
              <w:spacing w:line="360" w:lineRule="auto"/>
              <w:rPr>
                <w:rFonts w:ascii="Arial Black" w:hAnsi="Arial Black" w:cs="Arial"/>
              </w:rPr>
            </w:pPr>
            <w:r>
              <w:rPr>
                <w:rFonts w:ascii="Arial Black" w:hAnsi="Arial Black" w:cs="Arial"/>
              </w:rPr>
              <w:t>Wards affected:</w:t>
            </w:r>
          </w:p>
        </w:tc>
        <w:tc>
          <w:tcPr>
            <w:tcW w:w="5508" w:type="dxa"/>
            <w:gridSpan w:val="2"/>
          </w:tcPr>
          <w:p w:rsidR="00A51FAE" w:rsidRDefault="00E442FA" w:rsidP="00442804">
            <w:pPr>
              <w:pStyle w:val="Infotext"/>
              <w:spacing w:line="360" w:lineRule="auto"/>
            </w:pPr>
            <w:r>
              <w:t>All</w:t>
            </w:r>
          </w:p>
        </w:tc>
      </w:tr>
      <w:tr w:rsidR="002A2389" w:rsidTr="00442804">
        <w:tc>
          <w:tcPr>
            <w:tcW w:w="3456" w:type="dxa"/>
          </w:tcPr>
          <w:p w:rsidR="002A2389" w:rsidRPr="00F92398" w:rsidRDefault="002A2389" w:rsidP="00442804">
            <w:pPr>
              <w:pStyle w:val="Infotext"/>
              <w:spacing w:line="360" w:lineRule="auto"/>
              <w:rPr>
                <w:rFonts w:ascii="Arial Black" w:hAnsi="Arial Black" w:cs="Arial"/>
              </w:rPr>
            </w:pPr>
            <w:r w:rsidRPr="00F92398">
              <w:rPr>
                <w:rFonts w:ascii="Arial Black" w:hAnsi="Arial Black" w:cs="Arial"/>
              </w:rPr>
              <w:t>Enclosures:</w:t>
            </w:r>
          </w:p>
        </w:tc>
        <w:tc>
          <w:tcPr>
            <w:tcW w:w="5508" w:type="dxa"/>
            <w:gridSpan w:val="2"/>
          </w:tcPr>
          <w:p w:rsidR="00E442FA" w:rsidRDefault="00E442FA" w:rsidP="006C7B29">
            <w:pPr>
              <w:pStyle w:val="Infotext"/>
              <w:spacing w:line="360" w:lineRule="auto"/>
            </w:pPr>
            <w:r>
              <w:t xml:space="preserve">Pharmaceutical Needs Assessment </w:t>
            </w:r>
            <w:r w:rsidR="006C7B29">
              <w:t>final report</w:t>
            </w:r>
          </w:p>
        </w:tc>
      </w:tr>
      <w:tr w:rsidR="00675FCB" w:rsidTr="004428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7" w:type="dxa"/>
        </w:trPr>
        <w:tc>
          <w:tcPr>
            <w:tcW w:w="8897" w:type="dxa"/>
            <w:gridSpan w:val="2"/>
            <w:tcBorders>
              <w:top w:val="nil"/>
              <w:left w:val="nil"/>
              <w:right w:val="nil"/>
            </w:tcBorders>
          </w:tcPr>
          <w:p w:rsidR="00442804" w:rsidRDefault="00442804" w:rsidP="00255099">
            <w:pPr>
              <w:pStyle w:val="Heading1"/>
              <w:spacing w:line="240" w:lineRule="auto"/>
            </w:pPr>
          </w:p>
          <w:p w:rsidR="00675FCB" w:rsidRDefault="00675FCB" w:rsidP="00255099">
            <w:pPr>
              <w:pStyle w:val="Heading1"/>
              <w:spacing w:line="240" w:lineRule="auto"/>
            </w:pPr>
            <w:r>
              <w:t>Section 1 – Summary and Recommendations</w:t>
            </w:r>
          </w:p>
          <w:p w:rsidR="00675FCB" w:rsidRDefault="00675FCB" w:rsidP="00255099">
            <w:pPr>
              <w:spacing w:line="240" w:lineRule="auto"/>
            </w:pPr>
          </w:p>
        </w:tc>
      </w:tr>
      <w:tr w:rsidR="002A2389" w:rsidTr="004428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7" w:type="dxa"/>
        </w:trPr>
        <w:tc>
          <w:tcPr>
            <w:tcW w:w="8897" w:type="dxa"/>
            <w:gridSpan w:val="2"/>
          </w:tcPr>
          <w:p w:rsidR="004F73CE" w:rsidRPr="00322427" w:rsidRDefault="004F73CE" w:rsidP="004F73CE">
            <w:pPr>
              <w:rPr>
                <w:bCs/>
                <w:szCs w:val="24"/>
              </w:rPr>
            </w:pPr>
            <w:r>
              <w:rPr>
                <w:rFonts w:cs="Arial"/>
                <w:szCs w:val="24"/>
              </w:rPr>
              <w:t xml:space="preserve">Completion of a </w:t>
            </w:r>
            <w:r w:rsidRPr="00DE4992">
              <w:rPr>
                <w:rFonts w:cs="Arial"/>
                <w:szCs w:val="24"/>
              </w:rPr>
              <w:t>Pharmaceutical Needs Assessment (PNA) is a statutory duty for Health and Wellbeing Boards</w:t>
            </w:r>
            <w:r>
              <w:rPr>
                <w:rFonts w:cs="Arial"/>
                <w:szCs w:val="24"/>
              </w:rPr>
              <w:t xml:space="preserve"> to undertake at least every 3 years</w:t>
            </w:r>
            <w:r w:rsidRPr="00DE4992">
              <w:rPr>
                <w:rFonts w:cs="Arial"/>
                <w:szCs w:val="24"/>
              </w:rPr>
              <w:t xml:space="preserve">. </w:t>
            </w:r>
            <w:r>
              <w:rPr>
                <w:rFonts w:cs="Arial"/>
                <w:szCs w:val="24"/>
              </w:rPr>
              <w:t xml:space="preserve"> The PNA, which has completed the statutory consultation, does not identify any gaps in current provision of pharmaceutical services in Harrow and does not anticipate any gaps within the next three years.</w:t>
            </w:r>
          </w:p>
          <w:p w:rsidR="004F73CE" w:rsidRPr="00E442FA" w:rsidRDefault="004F73CE" w:rsidP="004F73CE"/>
          <w:p w:rsidR="004F73CE" w:rsidRDefault="004F73CE" w:rsidP="004F73CE">
            <w:pPr>
              <w:pStyle w:val="Heading2"/>
            </w:pPr>
            <w:r>
              <w:t xml:space="preserve">Recommendations: </w:t>
            </w:r>
          </w:p>
          <w:p w:rsidR="004F73CE" w:rsidRDefault="004F73CE" w:rsidP="004F73CE">
            <w:r>
              <w:t xml:space="preserve">The Board is requested </w:t>
            </w:r>
          </w:p>
          <w:p w:rsidR="004F73CE" w:rsidRDefault="004F73CE" w:rsidP="004F73CE">
            <w:pPr>
              <w:pStyle w:val="ListParagraph"/>
              <w:numPr>
                <w:ilvl w:val="0"/>
                <w:numId w:val="22"/>
              </w:numPr>
            </w:pPr>
            <w:r>
              <w:t xml:space="preserve">To agree that the final PNA is approved as an accurate statement of pharmaceutical needs of the borough.  </w:t>
            </w:r>
          </w:p>
          <w:p w:rsidR="004F73CE" w:rsidRDefault="004F73CE" w:rsidP="004F73CE">
            <w:pPr>
              <w:pStyle w:val="ListParagraph"/>
              <w:numPr>
                <w:ilvl w:val="0"/>
                <w:numId w:val="22"/>
              </w:numPr>
            </w:pPr>
            <w:r>
              <w:t xml:space="preserve">To </w:t>
            </w:r>
            <w:r w:rsidR="004F7CF7">
              <w:t>note the plan for</w:t>
            </w:r>
            <w:r>
              <w:t xml:space="preserve"> the maintenance of the PNA over the next three years in order to comply with the regulations.</w:t>
            </w:r>
          </w:p>
          <w:p w:rsidR="002A2389" w:rsidRDefault="002A2389" w:rsidP="006C7B29">
            <w:pPr>
              <w:rPr>
                <w:rFonts w:cs="Arial"/>
              </w:rPr>
            </w:pPr>
          </w:p>
        </w:tc>
      </w:tr>
    </w:tbl>
    <w:p w:rsidR="00FF71E5" w:rsidRDefault="00FF71E5">
      <w:pPr>
        <w:pStyle w:val="Heading1"/>
        <w:jc w:val="both"/>
        <w:sectPr w:rsidR="00FF71E5" w:rsidSect="00FF71E5">
          <w:headerReference w:type="first" r:id="rId8"/>
          <w:footerReference w:type="first" r:id="rId9"/>
          <w:pgSz w:w="11909" w:h="16834" w:code="9"/>
          <w:pgMar w:top="1008" w:right="1800" w:bottom="2880" w:left="1800" w:header="1008" w:footer="432" w:gutter="0"/>
          <w:cols w:space="720"/>
          <w:titlePg/>
          <w:docGrid w:linePitch="360"/>
        </w:sectPr>
      </w:pPr>
    </w:p>
    <w:p w:rsidR="002A2389" w:rsidRDefault="002A2389">
      <w:pPr>
        <w:pStyle w:val="Heading1"/>
        <w:jc w:val="both"/>
      </w:pPr>
      <w:r>
        <w:lastRenderedPageBreak/>
        <w:br w:type="page"/>
      </w:r>
      <w:r>
        <w:lastRenderedPageBreak/>
        <w:t>Section 2 – Report</w:t>
      </w:r>
    </w:p>
    <w:p w:rsidR="00575B76" w:rsidRPr="00DA52DA" w:rsidRDefault="002A2389" w:rsidP="00DA52DA">
      <w:pPr>
        <w:pStyle w:val="Heading2"/>
      </w:pPr>
      <w:r w:rsidRPr="00DA52DA">
        <w:t xml:space="preserve">Background </w:t>
      </w:r>
    </w:p>
    <w:p w:rsidR="00620644" w:rsidRDefault="00E442FA" w:rsidP="00575B76">
      <w:pPr>
        <w:rPr>
          <w:lang w:eastAsia="en-GB"/>
        </w:rPr>
      </w:pPr>
      <w:r w:rsidRPr="00E442FA">
        <w:rPr>
          <w:lang w:val="x-none"/>
        </w:rPr>
        <w:t>The Pharmaceutical Needs Assessment</w:t>
      </w:r>
      <w:r w:rsidR="00620644">
        <w:t xml:space="preserve"> (PNA)</w:t>
      </w:r>
      <w:r w:rsidRPr="00E442FA">
        <w:rPr>
          <w:lang w:val="x-none"/>
        </w:rPr>
        <w:t xml:space="preserve"> is a </w:t>
      </w:r>
      <w:r w:rsidR="00620644" w:rsidRPr="006A0810">
        <w:rPr>
          <w:lang w:eastAsia="en-GB"/>
        </w:rPr>
        <w:t xml:space="preserve">special assessment of pharmaceutical services provision in an area. The PNA includes information on current pharmaceutical service provision, information on health and other needs, and an assessment on whether current provision meets current or future needs of the area. </w:t>
      </w:r>
    </w:p>
    <w:p w:rsidR="00575B76" w:rsidRDefault="00575B76" w:rsidP="00575B76">
      <w:pPr>
        <w:rPr>
          <w:lang w:eastAsia="en-GB"/>
        </w:rPr>
      </w:pPr>
    </w:p>
    <w:p w:rsidR="00DA52DA" w:rsidRDefault="00DA52DA" w:rsidP="00DA52DA">
      <w:r>
        <w:t>The PNA</w:t>
      </w:r>
      <w:r w:rsidRPr="00E442FA">
        <w:rPr>
          <w:lang w:val="x-none"/>
        </w:rPr>
        <w:t xml:space="preserve"> is used to identify any gaps in current services or improvements that could be made in future pharmaceutical service provision. To prepare the report, data is gathered from pharmacy contractors, pharmacy users and other residents and from a range of sources (commissioners, planners and others). The report also includes a range of maps that are produced from data collected as part of the PNA process. </w:t>
      </w:r>
    </w:p>
    <w:p w:rsidR="00DA52DA" w:rsidRPr="00DA52DA" w:rsidRDefault="00DA52DA" w:rsidP="00DA52DA"/>
    <w:p w:rsidR="00620644" w:rsidRPr="00620644" w:rsidRDefault="00620644" w:rsidP="00620644">
      <w:r>
        <w:t>Since April 2013, the responsibility for producing the PNA has been a mandated function of the Health and Wellbeing Board</w:t>
      </w:r>
      <w:r w:rsidR="00F1344C">
        <w:t xml:space="preserve"> (HWB)</w:t>
      </w:r>
      <w:r>
        <w:t>.</w:t>
      </w:r>
      <w:r w:rsidR="00575B76" w:rsidRPr="00575B76">
        <w:rPr>
          <w:rFonts w:cs="Arial"/>
          <w:szCs w:val="24"/>
          <w:lang w:eastAsia="en-GB"/>
        </w:rPr>
        <w:t xml:space="preserve"> </w:t>
      </w:r>
      <w:r w:rsidR="00575B76">
        <w:rPr>
          <w:rFonts w:cs="Arial"/>
          <w:szCs w:val="24"/>
          <w:lang w:eastAsia="en-GB"/>
        </w:rPr>
        <w:t>The HWB must update the PNA at least every 3 years. The last Harrow PNA was produced in 2015 and covers the period 1 April 2015 - 31 March 2018.</w:t>
      </w:r>
    </w:p>
    <w:p w:rsidR="00E442FA" w:rsidRPr="00E442FA" w:rsidRDefault="00E442FA" w:rsidP="00620644"/>
    <w:p w:rsidR="002A2389" w:rsidRPr="00DA52DA" w:rsidRDefault="00DA52DA" w:rsidP="00DA52DA">
      <w:pPr>
        <w:pStyle w:val="Heading2"/>
      </w:pPr>
      <w:r>
        <w:t>Process</w:t>
      </w:r>
      <w:r w:rsidRPr="00DA52DA">
        <w:t xml:space="preserve"> for PNA delivery</w:t>
      </w:r>
    </w:p>
    <w:p w:rsidR="00665638" w:rsidRPr="004D1DE6" w:rsidRDefault="00AA3776" w:rsidP="00665638">
      <w:r>
        <w:t xml:space="preserve">The Health and Wellbeing Board has previously approved the process for producing the Harrow PNA 2018-21.  </w:t>
      </w:r>
      <w:r w:rsidR="006C7B29">
        <w:rPr>
          <w:bCs/>
          <w:szCs w:val="24"/>
        </w:rPr>
        <w:t xml:space="preserve">The </w:t>
      </w:r>
      <w:r>
        <w:rPr>
          <w:bCs/>
          <w:szCs w:val="24"/>
        </w:rPr>
        <w:t xml:space="preserve">draft </w:t>
      </w:r>
      <w:r w:rsidR="006C7B29">
        <w:rPr>
          <w:bCs/>
          <w:szCs w:val="24"/>
        </w:rPr>
        <w:t xml:space="preserve">report has </w:t>
      </w:r>
      <w:r>
        <w:rPr>
          <w:bCs/>
          <w:szCs w:val="24"/>
        </w:rPr>
        <w:t xml:space="preserve">now </w:t>
      </w:r>
      <w:r w:rsidR="006C7B29">
        <w:rPr>
          <w:bCs/>
          <w:szCs w:val="24"/>
        </w:rPr>
        <w:t xml:space="preserve">completed a 60 day consultation and the results have been incorporated into the final version.  </w:t>
      </w:r>
      <w:r w:rsidR="006C7B29" w:rsidRPr="004D1DE6">
        <w:rPr>
          <w:lang w:eastAsia="en-GB"/>
        </w:rPr>
        <w:t xml:space="preserve"> </w:t>
      </w:r>
      <w:r w:rsidR="00665638">
        <w:rPr>
          <w:lang w:eastAsia="en-GB"/>
        </w:rPr>
        <w:t xml:space="preserve">Once approved, the report will be published on the council website </w:t>
      </w:r>
      <w:r w:rsidR="00665638" w:rsidRPr="004D1DE6">
        <w:t>no later than 31st March 2018</w:t>
      </w:r>
      <w:r w:rsidR="00665638">
        <w:t xml:space="preserve"> to comply with the regulations.</w:t>
      </w:r>
    </w:p>
    <w:p w:rsidR="00AA3776" w:rsidRDefault="00AA3776" w:rsidP="004D1DE6">
      <w:pPr>
        <w:rPr>
          <w:lang w:eastAsia="en-GB"/>
        </w:rPr>
      </w:pPr>
    </w:p>
    <w:p w:rsidR="00AA3776" w:rsidRDefault="00AA3776" w:rsidP="004D1DE6">
      <w:pPr>
        <w:rPr>
          <w:lang w:eastAsia="en-GB"/>
        </w:rPr>
      </w:pPr>
      <w:r>
        <w:rPr>
          <w:lang w:eastAsia="en-GB"/>
        </w:rPr>
        <w:t>The report does not identify any</w:t>
      </w:r>
      <w:r w:rsidR="00665638">
        <w:rPr>
          <w:lang w:eastAsia="en-GB"/>
        </w:rPr>
        <w:t xml:space="preserve"> gaps in the provision of</w:t>
      </w:r>
      <w:r>
        <w:rPr>
          <w:lang w:eastAsia="en-GB"/>
        </w:rPr>
        <w:t xml:space="preserve"> </w:t>
      </w:r>
      <w:r w:rsidR="00665638">
        <w:rPr>
          <w:lang w:eastAsia="en-GB"/>
        </w:rPr>
        <w:t xml:space="preserve">pharmaceutical services within the borough and does not anticipate any gaps to occur as a result of changes in the borough’s population or housing plans within the forthcoming three years.  </w:t>
      </w:r>
    </w:p>
    <w:p w:rsidR="008306DA" w:rsidRPr="004D1DE6" w:rsidRDefault="008306DA" w:rsidP="004D1DE6"/>
    <w:p w:rsidR="000052B6" w:rsidRDefault="000052B6" w:rsidP="000052B6">
      <w:pPr>
        <w:pStyle w:val="Heading2"/>
      </w:pPr>
      <w:r>
        <w:t>Recommendation</w:t>
      </w:r>
      <w:r w:rsidR="00AA3776">
        <w:t xml:space="preserve"> 1</w:t>
      </w:r>
    </w:p>
    <w:p w:rsidR="00322427" w:rsidRDefault="00322427" w:rsidP="00DA52DA">
      <w:r>
        <w:t>The Health and Wellbeing Board are asked to agree that:</w:t>
      </w:r>
    </w:p>
    <w:p w:rsidR="00322427" w:rsidRDefault="00322427" w:rsidP="00322427">
      <w:pPr>
        <w:pStyle w:val="ListParagraph"/>
        <w:numPr>
          <w:ilvl w:val="0"/>
          <w:numId w:val="21"/>
        </w:numPr>
      </w:pPr>
      <w:r>
        <w:t>The final PNA is</w:t>
      </w:r>
      <w:r w:rsidR="00AA3776">
        <w:t xml:space="preserve"> approved as an accurate statement of pharmaceutical needs of the borough.  </w:t>
      </w:r>
    </w:p>
    <w:p w:rsidR="00AA3776" w:rsidRDefault="00AA3776" w:rsidP="00AA3776">
      <w:pPr>
        <w:outlineLvl w:val="1"/>
        <w:rPr>
          <w:rFonts w:eastAsia="Calibri"/>
        </w:rPr>
      </w:pPr>
    </w:p>
    <w:p w:rsidR="00912CBE" w:rsidRDefault="00912CBE" w:rsidP="00AA3776">
      <w:pPr>
        <w:outlineLvl w:val="1"/>
        <w:rPr>
          <w:rFonts w:eastAsia="Calibri"/>
        </w:rPr>
      </w:pPr>
      <w:r>
        <w:rPr>
          <w:rFonts w:eastAsia="Calibri"/>
        </w:rPr>
        <w:t>One of the comments received as part of the consultation asked questions about the work being done locally on suicide prevention and how pharmacists could be engaged in this work.  This was outside of the scope of the PNA and so has not been addressed within the report.  However, the Health and Wellbeing Board may wish to consider this as a topic for a future meeting.</w:t>
      </w:r>
    </w:p>
    <w:p w:rsidR="00912CBE" w:rsidRDefault="00912CBE" w:rsidP="00AA3776">
      <w:pPr>
        <w:outlineLvl w:val="1"/>
        <w:rPr>
          <w:rFonts w:eastAsia="Calibri"/>
        </w:rPr>
      </w:pPr>
    </w:p>
    <w:p w:rsidR="001D0391" w:rsidRDefault="00AA3776" w:rsidP="00AA3776">
      <w:pPr>
        <w:outlineLvl w:val="1"/>
        <w:rPr>
          <w:rFonts w:eastAsia="Calibri"/>
        </w:rPr>
      </w:pPr>
      <w:r w:rsidRPr="00AA3776">
        <w:rPr>
          <w:rFonts w:eastAsia="Calibri"/>
        </w:rPr>
        <w:t xml:space="preserve">In order to comply with the regulations, the report needs to </w:t>
      </w:r>
      <w:r w:rsidR="00670B58">
        <w:rPr>
          <w:rFonts w:eastAsia="Calibri"/>
        </w:rPr>
        <w:t xml:space="preserve">be </w:t>
      </w:r>
      <w:r w:rsidRPr="00AA3776">
        <w:rPr>
          <w:rFonts w:eastAsia="Calibri"/>
        </w:rPr>
        <w:t xml:space="preserve">maintained and updated periodically through the three year periods between the assessments.  If </w:t>
      </w:r>
      <w:r w:rsidRPr="00AA3776">
        <w:rPr>
          <w:rFonts w:eastAsia="Calibri"/>
        </w:rPr>
        <w:lastRenderedPageBreak/>
        <w:t xml:space="preserve">any changes are identified, they are assessed as to whether they make a significant impact on pharmaceutical needs in the borough.  </w:t>
      </w:r>
      <w:r>
        <w:rPr>
          <w:rFonts w:eastAsia="Calibri"/>
        </w:rPr>
        <w:t>Minor changes</w:t>
      </w:r>
      <w:r w:rsidR="0020797D">
        <w:rPr>
          <w:rFonts w:eastAsia="Calibri"/>
        </w:rPr>
        <w:t xml:space="preserve"> as a result of an application by someone to be included on the pharmaceutical list or </w:t>
      </w:r>
      <w:r w:rsidR="004F7CF7">
        <w:rPr>
          <w:rFonts w:eastAsia="Calibri"/>
        </w:rPr>
        <w:t>for additional premises</w:t>
      </w:r>
      <w:r w:rsidR="0020797D">
        <w:rPr>
          <w:rFonts w:eastAsia="Calibri"/>
        </w:rPr>
        <w:t xml:space="preserve"> from which they provide services to be included on to the list</w:t>
      </w:r>
      <w:r w:rsidR="008E1116">
        <w:rPr>
          <w:rFonts w:eastAsia="Calibri"/>
        </w:rPr>
        <w:t xml:space="preserve"> and that</w:t>
      </w:r>
      <w:r w:rsidR="0007431F">
        <w:rPr>
          <w:rFonts w:eastAsia="Calibri"/>
        </w:rPr>
        <w:t xml:space="preserve"> do</w:t>
      </w:r>
      <w:r w:rsidR="008E1116">
        <w:rPr>
          <w:rFonts w:eastAsia="Calibri"/>
        </w:rPr>
        <w:t xml:space="preserve"> </w:t>
      </w:r>
      <w:r>
        <w:rPr>
          <w:rFonts w:eastAsia="Calibri"/>
        </w:rPr>
        <w:t xml:space="preserve">not result in additional </w:t>
      </w:r>
      <w:proofErr w:type="gramStart"/>
      <w:r>
        <w:rPr>
          <w:rFonts w:eastAsia="Calibri"/>
        </w:rPr>
        <w:t>need,</w:t>
      </w:r>
      <w:proofErr w:type="gramEnd"/>
      <w:r>
        <w:rPr>
          <w:rFonts w:eastAsia="Calibri"/>
        </w:rPr>
        <w:t xml:space="preserve"> can be dealt with by publication of a supplementary statement.  Significant changes may require an accelerated time period for the next PNA.  </w:t>
      </w:r>
      <w:r w:rsidR="00036A30">
        <w:rPr>
          <w:rFonts w:eastAsia="Calibri"/>
        </w:rPr>
        <w:t xml:space="preserve">In addition to meeting the regulations, this process in anticipated to make future updates of the PNA quicker and simpler to undertake.  </w:t>
      </w:r>
      <w:r w:rsidR="004F7CF7">
        <w:rPr>
          <w:rFonts w:eastAsia="Calibri"/>
        </w:rPr>
        <w:t xml:space="preserve">As part of the tendering of the PNA, providers were asked to include an option to maintain the PNA.  </w:t>
      </w:r>
      <w:r w:rsidR="00036A30">
        <w:rPr>
          <w:rFonts w:eastAsia="Calibri"/>
        </w:rPr>
        <w:t xml:space="preserve">Funding for this was included in the total </w:t>
      </w:r>
      <w:r>
        <w:rPr>
          <w:rFonts w:eastAsia="Calibri"/>
        </w:rPr>
        <w:t xml:space="preserve">identified from the reserves.  </w:t>
      </w:r>
      <w:r w:rsidR="00036A30">
        <w:rPr>
          <w:rFonts w:eastAsia="Calibri"/>
        </w:rPr>
        <w:t>The current provider,</w:t>
      </w:r>
      <w:r w:rsidR="00665638">
        <w:rPr>
          <w:rFonts w:eastAsia="Calibri"/>
        </w:rPr>
        <w:t xml:space="preserve"> </w:t>
      </w:r>
      <w:r w:rsidR="00036A30">
        <w:rPr>
          <w:rFonts w:eastAsia="Calibri"/>
        </w:rPr>
        <w:t xml:space="preserve">Soar Beyond, </w:t>
      </w:r>
      <w:r w:rsidR="004F7CF7">
        <w:rPr>
          <w:rFonts w:eastAsia="Calibri"/>
        </w:rPr>
        <w:t xml:space="preserve">will undertake </w:t>
      </w:r>
      <w:r w:rsidR="00665638">
        <w:rPr>
          <w:rFonts w:eastAsia="Calibri"/>
        </w:rPr>
        <w:t xml:space="preserve">a six monthly review of the PNA at a cost of </w:t>
      </w:r>
      <w:r w:rsidR="00036A30" w:rsidRPr="00036A30">
        <w:rPr>
          <w:rFonts w:eastAsia="Calibri"/>
        </w:rPr>
        <w:t>£6,300 for 3 years</w:t>
      </w:r>
      <w:r w:rsidR="00036A30">
        <w:rPr>
          <w:rFonts w:eastAsia="Calibri"/>
        </w:rPr>
        <w:t xml:space="preserve">.  </w:t>
      </w:r>
    </w:p>
    <w:p w:rsidR="004F7CF7" w:rsidRDefault="004F7CF7" w:rsidP="00AA3776">
      <w:pPr>
        <w:outlineLvl w:val="1"/>
        <w:rPr>
          <w:rFonts w:eastAsia="Calibri"/>
        </w:rPr>
      </w:pPr>
    </w:p>
    <w:p w:rsidR="00AC2E65" w:rsidRDefault="00AC2E65" w:rsidP="00AC2E65">
      <w:pPr>
        <w:pStyle w:val="Heading2"/>
      </w:pPr>
      <w:r>
        <w:t>Recommendation 2</w:t>
      </w:r>
    </w:p>
    <w:p w:rsidR="00912CBE" w:rsidRDefault="00AC2E65" w:rsidP="00AC2E65">
      <w:r>
        <w:t xml:space="preserve">The Health and Wellbeing Board are asked to </w:t>
      </w:r>
      <w:r w:rsidR="004F7CF7">
        <w:t xml:space="preserve">note the plan for </w:t>
      </w:r>
      <w:r>
        <w:t>the maintenance of the PNA over the next three years</w:t>
      </w:r>
      <w:r w:rsidR="001D0391">
        <w:t xml:space="preserve"> in order to comply with the regulations</w:t>
      </w:r>
      <w:r>
        <w:t>.</w:t>
      </w:r>
    </w:p>
    <w:p w:rsidR="00322427" w:rsidRPr="000052B6" w:rsidRDefault="00322427" w:rsidP="004F7CF7"/>
    <w:p w:rsidR="002A2389" w:rsidRDefault="002A2389" w:rsidP="00620644">
      <w:pPr>
        <w:pStyle w:val="Heading2"/>
      </w:pPr>
      <w:r>
        <w:t>Financial Implications</w:t>
      </w:r>
      <w:r w:rsidR="00BE1C78">
        <w:t xml:space="preserve">/Comments </w:t>
      </w:r>
    </w:p>
    <w:p w:rsidR="006C7B29" w:rsidRDefault="006C7B29" w:rsidP="006C7B29">
      <w:pPr>
        <w:outlineLvl w:val="1"/>
        <w:rPr>
          <w:rFonts w:eastAsia="Calibri"/>
        </w:rPr>
      </w:pPr>
      <w:r>
        <w:t xml:space="preserve">Although the PNA is the responsibility of the Health and Wellbeing Board, following the introduction of the Health and Social Care Act in 2012, the process of producing the PNA has been managed by the Public Health team.  </w:t>
      </w:r>
      <w:r>
        <w:rPr>
          <w:rFonts w:eastAsia="Calibri"/>
        </w:rPr>
        <w:t>Whilst the f</w:t>
      </w:r>
      <w:r w:rsidRPr="006A0810">
        <w:rPr>
          <w:rFonts w:eastAsia="Calibri"/>
        </w:rPr>
        <w:t xml:space="preserve">unding for the production of the </w:t>
      </w:r>
      <w:r>
        <w:rPr>
          <w:rFonts w:eastAsia="Calibri"/>
        </w:rPr>
        <w:t xml:space="preserve">2018 </w:t>
      </w:r>
      <w:r w:rsidRPr="006A0810">
        <w:rPr>
          <w:rFonts w:eastAsia="Calibri"/>
        </w:rPr>
        <w:t>Pharmaceutical Needs Assessment ha</w:t>
      </w:r>
      <w:r>
        <w:rPr>
          <w:rFonts w:eastAsia="Calibri"/>
        </w:rPr>
        <w:t>d</w:t>
      </w:r>
      <w:r w:rsidRPr="006A0810">
        <w:rPr>
          <w:rFonts w:eastAsia="Calibri"/>
        </w:rPr>
        <w:t xml:space="preserve"> </w:t>
      </w:r>
      <w:r>
        <w:rPr>
          <w:rFonts w:eastAsia="Calibri"/>
        </w:rPr>
        <w:t xml:space="preserve">not </w:t>
      </w:r>
      <w:r w:rsidRPr="006A0810">
        <w:rPr>
          <w:rFonts w:eastAsia="Calibri"/>
        </w:rPr>
        <w:t xml:space="preserve">been </w:t>
      </w:r>
      <w:r>
        <w:rPr>
          <w:rFonts w:eastAsia="Calibri"/>
        </w:rPr>
        <w:t>included within the annual budget plan, given the cyclical nature of its production, funding was been identified within the specific Public Health reserve</w:t>
      </w:r>
      <w:r w:rsidRPr="006C7B29">
        <w:t xml:space="preserve"> </w:t>
      </w:r>
      <w:r>
        <w:t>from the Public Health ring-fenced grant</w:t>
      </w:r>
      <w:r>
        <w:rPr>
          <w:rFonts w:eastAsia="Calibri"/>
        </w:rPr>
        <w:t>.</w:t>
      </w:r>
      <w:r w:rsidR="00665638">
        <w:rPr>
          <w:rFonts w:eastAsia="Calibri"/>
        </w:rPr>
        <w:t xml:space="preserve">  This funding covered the production of the PNA and the maintenance of the document over the next three years. </w:t>
      </w:r>
    </w:p>
    <w:p w:rsidR="006C7B29" w:rsidRDefault="006C7B29" w:rsidP="006C7B29">
      <w:pPr>
        <w:outlineLvl w:val="1"/>
        <w:rPr>
          <w:rFonts w:eastAsia="Calibri"/>
        </w:rPr>
      </w:pPr>
    </w:p>
    <w:p w:rsidR="00FF0DC1" w:rsidRDefault="00FF0DC1" w:rsidP="00FF0DC1">
      <w:pPr>
        <w:rPr>
          <w:rFonts w:eastAsia="Calibri"/>
        </w:rPr>
      </w:pPr>
      <w:r>
        <w:rPr>
          <w:rFonts w:eastAsia="Calibri"/>
        </w:rPr>
        <w:t>Future funding (with associated Public Health resources) will need to be identified within the available funding envelope and as part of the overall council financial budget setting process for the next PNA report which will become due in 2021.</w:t>
      </w:r>
    </w:p>
    <w:p w:rsidR="00012403" w:rsidRPr="00620644" w:rsidRDefault="00012403" w:rsidP="00620644"/>
    <w:p w:rsidR="00620644" w:rsidRPr="00620644" w:rsidRDefault="00620644" w:rsidP="00620644">
      <w:pPr>
        <w:pStyle w:val="Heading2"/>
        <w:rPr>
          <w:rFonts w:cs="Times New Roman"/>
          <w:szCs w:val="20"/>
        </w:rPr>
      </w:pPr>
      <w:r>
        <w:rPr>
          <w:rFonts w:eastAsia="Calibri"/>
        </w:rPr>
        <w:t>Legal Implications</w:t>
      </w:r>
    </w:p>
    <w:p w:rsidR="00591F82" w:rsidRDefault="00620644" w:rsidP="004D1DE6">
      <w:pPr>
        <w:rPr>
          <w:rFonts w:cs="Arial"/>
          <w:szCs w:val="24"/>
          <w:lang w:eastAsia="en-GB"/>
        </w:rPr>
      </w:pPr>
      <w:r w:rsidRPr="006A0810">
        <w:rPr>
          <w:rFonts w:cs="Arial"/>
          <w:szCs w:val="24"/>
          <w:lang w:eastAsia="en-GB"/>
        </w:rPr>
        <w:t xml:space="preserve">The Health and Social Care Act 2012 transferred responsibility for developing and updating PNAs to Health and Wellbeing Boards (HWBs). </w:t>
      </w:r>
      <w:r w:rsidR="00591F82">
        <w:rPr>
          <w:rFonts w:cs="Arial"/>
          <w:szCs w:val="24"/>
          <w:lang w:eastAsia="en-GB"/>
        </w:rPr>
        <w:t xml:space="preserve">Section 128A of the National Service Act 2006 provides that the Health and Wellbeing Board must in accordance with </w:t>
      </w:r>
      <w:r w:rsidR="0007431F">
        <w:rPr>
          <w:rFonts w:cs="Arial"/>
          <w:szCs w:val="24"/>
          <w:lang w:eastAsia="en-GB"/>
        </w:rPr>
        <w:t>regulations assess need</w:t>
      </w:r>
      <w:r w:rsidR="00591F82">
        <w:rPr>
          <w:rFonts w:cs="Arial"/>
          <w:szCs w:val="24"/>
          <w:lang w:eastAsia="en-GB"/>
        </w:rPr>
        <w:t xml:space="preserve"> for pharmaceutical services in its area and </w:t>
      </w:r>
      <w:r w:rsidR="00591F82" w:rsidRPr="00591F82">
        <w:rPr>
          <w:rFonts w:cs="Arial"/>
          <w:szCs w:val="24"/>
          <w:lang w:eastAsia="en-GB"/>
        </w:rPr>
        <w:t>publish a statement of its first assessment and of any revised assessment</w:t>
      </w:r>
      <w:r w:rsidR="00591F82">
        <w:rPr>
          <w:rFonts w:cs="Arial"/>
          <w:szCs w:val="24"/>
          <w:lang w:eastAsia="en-GB"/>
        </w:rPr>
        <w:t xml:space="preserve">.  </w:t>
      </w:r>
    </w:p>
    <w:p w:rsidR="00620644" w:rsidRDefault="00620644" w:rsidP="004D1DE6">
      <w:pPr>
        <w:rPr>
          <w:rFonts w:cs="Arial"/>
          <w:szCs w:val="24"/>
          <w:lang w:eastAsia="en-GB"/>
        </w:rPr>
      </w:pPr>
      <w:r w:rsidRPr="006A0810">
        <w:rPr>
          <w:rFonts w:cs="Arial"/>
          <w:szCs w:val="24"/>
          <w:lang w:eastAsia="en-GB"/>
        </w:rPr>
        <w:t>The NHS (Pharmaceutical Services and Local Pharmaceutical Services) Regulations 2013 set out the legislative basis for developing and updating PNAs.</w:t>
      </w:r>
      <w:r>
        <w:rPr>
          <w:rFonts w:cs="Arial"/>
          <w:szCs w:val="24"/>
          <w:lang w:eastAsia="en-GB"/>
        </w:rPr>
        <w:t xml:space="preserve"> </w:t>
      </w:r>
      <w:r w:rsidR="006C6963">
        <w:rPr>
          <w:rFonts w:cs="Arial"/>
          <w:szCs w:val="24"/>
          <w:lang w:eastAsia="en-GB"/>
        </w:rPr>
        <w:t>According to Regulation 6 of the NHS (Pharmaceutical Services and Local Pharmaceutical Services) Regulations 2013 t</w:t>
      </w:r>
      <w:r>
        <w:rPr>
          <w:rFonts w:cs="Arial"/>
          <w:szCs w:val="24"/>
          <w:lang w:eastAsia="en-GB"/>
        </w:rPr>
        <w:t>he HWB must update the PNA at least every 3 years.</w:t>
      </w:r>
    </w:p>
    <w:p w:rsidR="008E1116" w:rsidRDefault="008E1116" w:rsidP="004D1DE6">
      <w:pPr>
        <w:rPr>
          <w:rFonts w:cs="Arial"/>
          <w:szCs w:val="24"/>
          <w:lang w:eastAsia="en-GB"/>
        </w:rPr>
      </w:pPr>
    </w:p>
    <w:p w:rsidR="008E1116" w:rsidRPr="008306DA" w:rsidRDefault="008E1116" w:rsidP="004D1DE6">
      <w:r>
        <w:rPr>
          <w:rFonts w:cs="Arial"/>
          <w:szCs w:val="24"/>
          <w:lang w:eastAsia="en-GB"/>
        </w:rPr>
        <w:t xml:space="preserve">According to the Council’s constitution Part 3A Terms of Reference the Health and Wellbeing Board produced a Pharmaceutical Needs Assessment and revises it </w:t>
      </w:r>
      <w:r>
        <w:rPr>
          <w:rFonts w:cs="Arial"/>
          <w:szCs w:val="24"/>
          <w:lang w:eastAsia="en-GB"/>
        </w:rPr>
        <w:lastRenderedPageBreak/>
        <w:t xml:space="preserve">every three years as one of its key functions. Another one of its functions is to consider how best to use the totality of resources available for health and wellbeing. </w:t>
      </w:r>
    </w:p>
    <w:p w:rsidR="001417FD" w:rsidRDefault="001417FD"/>
    <w:p w:rsidR="00C32DAE" w:rsidRDefault="00C32DAE" w:rsidP="00E02B50">
      <w:pPr>
        <w:pStyle w:val="Heading2"/>
      </w:pPr>
      <w:r>
        <w:t xml:space="preserve">Risk Management </w:t>
      </w:r>
    </w:p>
    <w:p w:rsidR="00DD4251" w:rsidRDefault="001D0391" w:rsidP="00C73B3A">
      <w:pPr>
        <w:rPr>
          <w:rFonts w:eastAsia="Calibri"/>
        </w:rPr>
      </w:pPr>
      <w:r>
        <w:rPr>
          <w:rFonts w:eastAsia="Calibri"/>
        </w:rPr>
        <w:t>None</w:t>
      </w:r>
    </w:p>
    <w:p w:rsidR="00AC2E65" w:rsidRPr="00DD4251" w:rsidRDefault="00AC2E65" w:rsidP="00C73B3A">
      <w:pPr>
        <w:rPr>
          <w:lang w:val="en-US" w:eastAsia="en-GB"/>
        </w:rPr>
      </w:pPr>
    </w:p>
    <w:p w:rsidR="00FD31A0" w:rsidRPr="004A2543" w:rsidRDefault="00FD31A0" w:rsidP="00FD31A0">
      <w:pPr>
        <w:pStyle w:val="Heading2"/>
        <w:keepNext/>
      </w:pPr>
      <w:r w:rsidRPr="004A2543">
        <w:t>Equalities implications</w:t>
      </w:r>
    </w:p>
    <w:p w:rsidR="008306DA" w:rsidRPr="008306DA" w:rsidRDefault="008306DA" w:rsidP="004D1DE6">
      <w:r>
        <w:t xml:space="preserve">An </w:t>
      </w:r>
      <w:r w:rsidRPr="008306DA">
        <w:t xml:space="preserve">Equality Impact Assessment </w:t>
      </w:r>
      <w:r w:rsidR="00AC2E65">
        <w:t>is included in the final report.  The report did not identify any equalities implications.</w:t>
      </w:r>
    </w:p>
    <w:p w:rsidR="00FD31A0" w:rsidRPr="004A2543" w:rsidRDefault="00FD31A0" w:rsidP="00FD31A0"/>
    <w:p w:rsidR="00BF6C06" w:rsidRPr="00CD57D8" w:rsidRDefault="005874F0" w:rsidP="00BF6C06">
      <w:pPr>
        <w:pStyle w:val="Heading2"/>
      </w:pPr>
      <w:r>
        <w:t>Council</w:t>
      </w:r>
      <w:r w:rsidR="00D34145">
        <w:t xml:space="preserve"> </w:t>
      </w:r>
      <w:r w:rsidR="00BF6C06" w:rsidRPr="00CD57D8">
        <w:t>Priorities</w:t>
      </w:r>
    </w:p>
    <w:p w:rsidR="00B9498A" w:rsidRDefault="00B9498A" w:rsidP="00B9498A">
      <w:pPr>
        <w:rPr>
          <w:rFonts w:cs="Arial"/>
          <w:szCs w:val="24"/>
        </w:rPr>
      </w:pPr>
      <w:r w:rsidRPr="00D378CC">
        <w:rPr>
          <w:rFonts w:cs="Arial"/>
          <w:szCs w:val="24"/>
        </w:rPr>
        <w:t>The Council’s vision</w:t>
      </w:r>
      <w:r>
        <w:rPr>
          <w:rFonts w:cs="Arial"/>
          <w:szCs w:val="24"/>
        </w:rPr>
        <w:t>:</w:t>
      </w:r>
    </w:p>
    <w:p w:rsidR="00B9498A" w:rsidRDefault="00B9498A" w:rsidP="00B9498A">
      <w:pPr>
        <w:rPr>
          <w:rFonts w:cs="Arial"/>
          <w:szCs w:val="24"/>
        </w:rPr>
      </w:pPr>
    </w:p>
    <w:p w:rsidR="00B9498A" w:rsidRPr="00D378CC" w:rsidRDefault="00B9498A" w:rsidP="00B9498A">
      <w:pPr>
        <w:rPr>
          <w:rFonts w:cs="Arial"/>
          <w:szCs w:val="24"/>
        </w:rPr>
      </w:pPr>
      <w:r w:rsidRPr="00C00122">
        <w:rPr>
          <w:rFonts w:cs="Arial"/>
          <w:b/>
          <w:szCs w:val="24"/>
        </w:rPr>
        <w:t xml:space="preserve">Working Together to Make a Difference for </w:t>
      </w:r>
      <w:smartTag w:uri="urn:schemas-microsoft-com:office:smarttags" w:element="place">
        <w:r w:rsidRPr="00C00122">
          <w:rPr>
            <w:rFonts w:cs="Arial"/>
            <w:b/>
            <w:szCs w:val="24"/>
          </w:rPr>
          <w:t>Harrow</w:t>
        </w:r>
      </w:smartTag>
      <w:r w:rsidRPr="00D378CC">
        <w:rPr>
          <w:rFonts w:cs="Arial"/>
          <w:szCs w:val="24"/>
        </w:rPr>
        <w:t xml:space="preserve"> </w:t>
      </w:r>
    </w:p>
    <w:p w:rsidR="00B9498A" w:rsidRDefault="00B9498A" w:rsidP="00B9498A">
      <w:pPr>
        <w:rPr>
          <w:rFonts w:cs="Arial"/>
          <w:szCs w:val="24"/>
          <w:lang w:val="en-US"/>
        </w:rPr>
      </w:pPr>
    </w:p>
    <w:p w:rsidR="00B9498A" w:rsidRPr="00CD57D8" w:rsidRDefault="004D1DE6" w:rsidP="00B9498A">
      <w:pPr>
        <w:rPr>
          <w:rFonts w:cs="Arial"/>
          <w:szCs w:val="24"/>
          <w:lang w:val="en-US"/>
        </w:rPr>
      </w:pPr>
      <w:r>
        <w:rPr>
          <w:rFonts w:cs="Arial"/>
          <w:szCs w:val="24"/>
          <w:lang w:val="en-US"/>
        </w:rPr>
        <w:t>The PNA contributes to all of the four categories of making a difference.</w:t>
      </w:r>
    </w:p>
    <w:p w:rsidR="00B9498A" w:rsidRPr="00356159" w:rsidRDefault="00B9498A" w:rsidP="00B9498A">
      <w:pPr>
        <w:numPr>
          <w:ilvl w:val="0"/>
          <w:numId w:val="7"/>
        </w:numPr>
        <w:tabs>
          <w:tab w:val="left" w:pos="748"/>
        </w:tabs>
        <w:ind w:left="782" w:hanging="782"/>
        <w:jc w:val="both"/>
        <w:rPr>
          <w:rFonts w:cs="Arial"/>
          <w:szCs w:val="24"/>
        </w:rPr>
      </w:pPr>
      <w:r w:rsidRPr="00356159">
        <w:rPr>
          <w:rFonts w:cs="Arial"/>
          <w:szCs w:val="24"/>
          <w:lang w:val="en"/>
        </w:rPr>
        <w:t>Making a difference for the vulnerable</w:t>
      </w:r>
    </w:p>
    <w:p w:rsidR="00B9498A" w:rsidRPr="00356159" w:rsidRDefault="00B9498A" w:rsidP="00B9498A">
      <w:pPr>
        <w:numPr>
          <w:ilvl w:val="0"/>
          <w:numId w:val="7"/>
        </w:numPr>
        <w:tabs>
          <w:tab w:val="left" w:pos="748"/>
        </w:tabs>
        <w:suppressAutoHyphens/>
        <w:ind w:left="782" w:hanging="782"/>
        <w:jc w:val="both"/>
        <w:rPr>
          <w:rFonts w:cs="Arial"/>
          <w:szCs w:val="24"/>
        </w:rPr>
      </w:pPr>
      <w:r w:rsidRPr="00356159">
        <w:rPr>
          <w:rFonts w:cs="Arial"/>
          <w:szCs w:val="24"/>
        </w:rPr>
        <w:t>Making a difference for communities</w:t>
      </w:r>
    </w:p>
    <w:p w:rsidR="00B9498A" w:rsidRPr="00356159" w:rsidRDefault="00B9498A" w:rsidP="00B9498A">
      <w:pPr>
        <w:numPr>
          <w:ilvl w:val="0"/>
          <w:numId w:val="7"/>
        </w:numPr>
        <w:tabs>
          <w:tab w:val="left" w:pos="748"/>
        </w:tabs>
        <w:suppressAutoHyphens/>
        <w:ind w:left="782" w:hanging="782"/>
        <w:jc w:val="both"/>
        <w:rPr>
          <w:rFonts w:cs="Arial"/>
          <w:szCs w:val="24"/>
        </w:rPr>
      </w:pPr>
      <w:r w:rsidRPr="00356159">
        <w:rPr>
          <w:rFonts w:cs="Arial"/>
          <w:szCs w:val="24"/>
        </w:rPr>
        <w:t>Making a difference for local businesses</w:t>
      </w:r>
    </w:p>
    <w:p w:rsidR="00B9498A" w:rsidRPr="00356159" w:rsidRDefault="00B9498A" w:rsidP="00B9498A">
      <w:pPr>
        <w:numPr>
          <w:ilvl w:val="0"/>
          <w:numId w:val="7"/>
        </w:numPr>
        <w:tabs>
          <w:tab w:val="left" w:pos="748"/>
        </w:tabs>
        <w:suppressAutoHyphens/>
        <w:ind w:left="782" w:hanging="782"/>
        <w:jc w:val="both"/>
        <w:rPr>
          <w:rFonts w:cs="Arial"/>
          <w:szCs w:val="24"/>
        </w:rPr>
      </w:pPr>
      <w:r w:rsidRPr="00356159">
        <w:rPr>
          <w:rFonts w:cs="Arial"/>
          <w:szCs w:val="24"/>
        </w:rPr>
        <w:t>Making a difference for families</w:t>
      </w:r>
    </w:p>
    <w:p w:rsidR="00B9498A" w:rsidRDefault="00B9498A" w:rsidP="00B9498A"/>
    <w:p w:rsidR="002A2389" w:rsidRDefault="002A2389" w:rsidP="008D1750">
      <w:pPr>
        <w:pStyle w:val="Heading1"/>
        <w:keepNext/>
      </w:pPr>
      <w:r>
        <w:t>Section 3 - Statutory Officer Clearance</w:t>
      </w:r>
      <w:r w:rsidR="00BE1C78">
        <w:t xml:space="preserve"> </w:t>
      </w:r>
      <w:r w:rsidR="001417FD">
        <w:t>(Council and Joint Reports)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0"/>
        <w:gridCol w:w="405"/>
        <w:gridCol w:w="222"/>
        <w:gridCol w:w="3421"/>
      </w:tblGrid>
      <w:tr w:rsidR="002A2389" w:rsidTr="00442804">
        <w:tc>
          <w:tcPr>
            <w:tcW w:w="2792" w:type="pct"/>
            <w:tcBorders>
              <w:bottom w:val="nil"/>
              <w:right w:val="nil"/>
            </w:tcBorders>
          </w:tcPr>
          <w:p w:rsidR="002A2389" w:rsidRDefault="002A2389" w:rsidP="00442804"/>
          <w:p w:rsidR="002A2389" w:rsidRDefault="002A2389" w:rsidP="00442804"/>
        </w:tc>
        <w:tc>
          <w:tcPr>
            <w:tcW w:w="138" w:type="pct"/>
            <w:tcBorders>
              <w:left w:val="nil"/>
              <w:right w:val="nil"/>
            </w:tcBorders>
          </w:tcPr>
          <w:p w:rsidR="002A2389" w:rsidRDefault="002A2389" w:rsidP="00442804"/>
        </w:tc>
        <w:tc>
          <w:tcPr>
            <w:tcW w:w="138" w:type="pct"/>
            <w:tcBorders>
              <w:left w:val="nil"/>
              <w:bottom w:val="nil"/>
              <w:right w:val="nil"/>
            </w:tcBorders>
          </w:tcPr>
          <w:p w:rsidR="002A2389" w:rsidRDefault="002A2389" w:rsidP="00442804"/>
        </w:tc>
        <w:tc>
          <w:tcPr>
            <w:tcW w:w="1932" w:type="pct"/>
            <w:tcBorders>
              <w:left w:val="nil"/>
              <w:bottom w:val="nil"/>
            </w:tcBorders>
          </w:tcPr>
          <w:p w:rsidR="002A2389" w:rsidRDefault="002A2389" w:rsidP="00442804"/>
          <w:p w:rsidR="002A2389" w:rsidRDefault="002A2389" w:rsidP="00670B58">
            <w:r>
              <w:t>on behalf of the</w:t>
            </w:r>
          </w:p>
        </w:tc>
      </w:tr>
      <w:tr w:rsidR="002A2389" w:rsidTr="00442804">
        <w:tc>
          <w:tcPr>
            <w:tcW w:w="2792" w:type="pct"/>
            <w:tcBorders>
              <w:top w:val="nil"/>
              <w:bottom w:val="nil"/>
            </w:tcBorders>
          </w:tcPr>
          <w:p w:rsidR="002A2389" w:rsidRDefault="002A2389" w:rsidP="00670B58">
            <w:r>
              <w:t>Name:</w:t>
            </w:r>
            <w:r w:rsidR="00F1344C">
              <w:t xml:space="preserve">    </w:t>
            </w:r>
            <w:r w:rsidR="00497DED">
              <w:t>Donna Edwards</w:t>
            </w:r>
          </w:p>
        </w:tc>
        <w:tc>
          <w:tcPr>
            <w:tcW w:w="138" w:type="pct"/>
            <w:tcBorders>
              <w:bottom w:val="single" w:sz="4" w:space="0" w:color="auto"/>
            </w:tcBorders>
          </w:tcPr>
          <w:p w:rsidR="002A2389" w:rsidRDefault="00F1344C" w:rsidP="00442804">
            <w:r>
              <w:sym w:font="Wingdings" w:char="F0FC"/>
            </w:r>
          </w:p>
        </w:tc>
        <w:tc>
          <w:tcPr>
            <w:tcW w:w="138" w:type="pct"/>
            <w:tcBorders>
              <w:top w:val="nil"/>
              <w:bottom w:val="nil"/>
              <w:right w:val="nil"/>
            </w:tcBorders>
          </w:tcPr>
          <w:p w:rsidR="002A2389" w:rsidRDefault="002A2389" w:rsidP="00442804"/>
        </w:tc>
        <w:tc>
          <w:tcPr>
            <w:tcW w:w="1932" w:type="pct"/>
            <w:tcBorders>
              <w:top w:val="nil"/>
              <w:left w:val="nil"/>
              <w:bottom w:val="nil"/>
            </w:tcBorders>
          </w:tcPr>
          <w:p w:rsidR="002A2389" w:rsidRDefault="002A2389" w:rsidP="00442804">
            <w:r>
              <w:t>Chief Financial Officer</w:t>
            </w:r>
          </w:p>
        </w:tc>
      </w:tr>
      <w:tr w:rsidR="002A2389" w:rsidTr="00442804">
        <w:tc>
          <w:tcPr>
            <w:tcW w:w="2792" w:type="pct"/>
            <w:tcBorders>
              <w:top w:val="nil"/>
              <w:right w:val="nil"/>
            </w:tcBorders>
          </w:tcPr>
          <w:p w:rsidR="002A2389" w:rsidRDefault="002A2389" w:rsidP="00442804">
            <w:r>
              <w:t xml:space="preserve"> </w:t>
            </w:r>
          </w:p>
          <w:p w:rsidR="002A2389" w:rsidRDefault="002A2389" w:rsidP="00670B58">
            <w:r>
              <w:t xml:space="preserve">Date: </w:t>
            </w:r>
            <w:r w:rsidR="00497DED">
              <w:t>26 February 2018</w:t>
            </w:r>
          </w:p>
        </w:tc>
        <w:tc>
          <w:tcPr>
            <w:tcW w:w="138" w:type="pct"/>
            <w:tcBorders>
              <w:left w:val="nil"/>
              <w:bottom w:val="single" w:sz="4" w:space="0" w:color="auto"/>
              <w:right w:val="nil"/>
            </w:tcBorders>
          </w:tcPr>
          <w:p w:rsidR="002A2389" w:rsidRDefault="002A2389" w:rsidP="00442804"/>
        </w:tc>
        <w:tc>
          <w:tcPr>
            <w:tcW w:w="138" w:type="pct"/>
            <w:tcBorders>
              <w:top w:val="nil"/>
              <w:left w:val="nil"/>
              <w:right w:val="nil"/>
            </w:tcBorders>
          </w:tcPr>
          <w:p w:rsidR="002A2389" w:rsidRDefault="002A2389" w:rsidP="00442804"/>
        </w:tc>
        <w:tc>
          <w:tcPr>
            <w:tcW w:w="1932" w:type="pct"/>
            <w:tcBorders>
              <w:top w:val="nil"/>
              <w:left w:val="nil"/>
            </w:tcBorders>
          </w:tcPr>
          <w:p w:rsidR="002A2389" w:rsidRDefault="002A2389" w:rsidP="00442804"/>
        </w:tc>
      </w:tr>
      <w:tr w:rsidR="002A2389" w:rsidTr="00AC2E65">
        <w:trPr>
          <w:trHeight w:val="697"/>
        </w:trPr>
        <w:tc>
          <w:tcPr>
            <w:tcW w:w="2792" w:type="pct"/>
            <w:tcBorders>
              <w:bottom w:val="nil"/>
              <w:right w:val="nil"/>
            </w:tcBorders>
          </w:tcPr>
          <w:p w:rsidR="002A2389" w:rsidRDefault="002A2389" w:rsidP="00442804"/>
          <w:p w:rsidR="002A2389" w:rsidRDefault="002A2389" w:rsidP="00442804"/>
        </w:tc>
        <w:tc>
          <w:tcPr>
            <w:tcW w:w="138" w:type="pct"/>
            <w:tcBorders>
              <w:left w:val="nil"/>
              <w:right w:val="nil"/>
            </w:tcBorders>
          </w:tcPr>
          <w:p w:rsidR="002A2389" w:rsidRDefault="002A2389" w:rsidP="00442804"/>
        </w:tc>
        <w:tc>
          <w:tcPr>
            <w:tcW w:w="138" w:type="pct"/>
            <w:tcBorders>
              <w:left w:val="nil"/>
              <w:bottom w:val="nil"/>
              <w:right w:val="nil"/>
            </w:tcBorders>
          </w:tcPr>
          <w:p w:rsidR="002A2389" w:rsidRDefault="002A2389" w:rsidP="00442804"/>
        </w:tc>
        <w:tc>
          <w:tcPr>
            <w:tcW w:w="1932" w:type="pct"/>
            <w:tcBorders>
              <w:left w:val="nil"/>
              <w:bottom w:val="nil"/>
            </w:tcBorders>
          </w:tcPr>
          <w:p w:rsidR="002A2389" w:rsidRDefault="002A2389" w:rsidP="00442804"/>
          <w:p w:rsidR="002A2389" w:rsidRDefault="002A2389" w:rsidP="00670B58">
            <w:r>
              <w:t>on behalf of the</w:t>
            </w:r>
          </w:p>
        </w:tc>
      </w:tr>
      <w:tr w:rsidR="002A2389" w:rsidTr="00442804">
        <w:tc>
          <w:tcPr>
            <w:tcW w:w="2792" w:type="pct"/>
            <w:tcBorders>
              <w:top w:val="nil"/>
              <w:bottom w:val="nil"/>
            </w:tcBorders>
          </w:tcPr>
          <w:p w:rsidR="002A2389" w:rsidRDefault="002A2389" w:rsidP="00670B58">
            <w:r>
              <w:t xml:space="preserve">Name: </w:t>
            </w:r>
            <w:bookmarkStart w:id="0" w:name="_GoBack"/>
            <w:bookmarkEnd w:id="0"/>
            <w:r w:rsidR="00470BE4">
              <w:t>Noopur Talwar</w:t>
            </w:r>
          </w:p>
        </w:tc>
        <w:tc>
          <w:tcPr>
            <w:tcW w:w="138" w:type="pct"/>
            <w:tcBorders>
              <w:bottom w:val="single" w:sz="4" w:space="0" w:color="auto"/>
            </w:tcBorders>
          </w:tcPr>
          <w:p w:rsidR="002A2389" w:rsidRDefault="00F1344C" w:rsidP="00442804">
            <w:r>
              <w:sym w:font="Wingdings" w:char="F0FC"/>
            </w:r>
          </w:p>
        </w:tc>
        <w:tc>
          <w:tcPr>
            <w:tcW w:w="138" w:type="pct"/>
            <w:tcBorders>
              <w:top w:val="nil"/>
              <w:bottom w:val="nil"/>
              <w:right w:val="nil"/>
            </w:tcBorders>
          </w:tcPr>
          <w:p w:rsidR="002A2389" w:rsidRDefault="002A2389" w:rsidP="00442804"/>
        </w:tc>
        <w:tc>
          <w:tcPr>
            <w:tcW w:w="1932" w:type="pct"/>
            <w:tcBorders>
              <w:top w:val="nil"/>
              <w:left w:val="nil"/>
              <w:bottom w:val="nil"/>
            </w:tcBorders>
          </w:tcPr>
          <w:p w:rsidR="002A2389" w:rsidRDefault="002A2389" w:rsidP="00442804">
            <w:r>
              <w:t>Monitoring Officer</w:t>
            </w:r>
          </w:p>
        </w:tc>
      </w:tr>
      <w:tr w:rsidR="002A2389" w:rsidTr="00442804">
        <w:tc>
          <w:tcPr>
            <w:tcW w:w="2792" w:type="pct"/>
            <w:tcBorders>
              <w:top w:val="nil"/>
              <w:right w:val="nil"/>
            </w:tcBorders>
          </w:tcPr>
          <w:p w:rsidR="002A2389" w:rsidRDefault="002A2389" w:rsidP="00442804"/>
          <w:p w:rsidR="002A2389" w:rsidRDefault="002A2389" w:rsidP="00AC2E65">
            <w:r>
              <w:t xml:space="preserve">Date: </w:t>
            </w:r>
            <w:r w:rsidR="00470BE4">
              <w:t>15 February 2018</w:t>
            </w:r>
          </w:p>
        </w:tc>
        <w:tc>
          <w:tcPr>
            <w:tcW w:w="138" w:type="pct"/>
            <w:tcBorders>
              <w:left w:val="nil"/>
              <w:right w:val="nil"/>
            </w:tcBorders>
          </w:tcPr>
          <w:p w:rsidR="002A2389" w:rsidRDefault="002A2389" w:rsidP="00442804"/>
        </w:tc>
        <w:tc>
          <w:tcPr>
            <w:tcW w:w="138" w:type="pct"/>
            <w:tcBorders>
              <w:top w:val="nil"/>
              <w:left w:val="nil"/>
              <w:right w:val="nil"/>
            </w:tcBorders>
          </w:tcPr>
          <w:p w:rsidR="002A2389" w:rsidRDefault="002A2389" w:rsidP="00442804"/>
        </w:tc>
        <w:tc>
          <w:tcPr>
            <w:tcW w:w="1932" w:type="pct"/>
            <w:tcBorders>
              <w:top w:val="nil"/>
              <w:left w:val="nil"/>
            </w:tcBorders>
          </w:tcPr>
          <w:p w:rsidR="002A2389" w:rsidRDefault="002A2389" w:rsidP="00442804"/>
          <w:p w:rsidR="002A2389" w:rsidRDefault="002A2389" w:rsidP="00442804"/>
        </w:tc>
      </w:tr>
    </w:tbl>
    <w:p w:rsidR="002A2389" w:rsidRDefault="002A2389">
      <w:pPr>
        <w:rPr>
          <w:szCs w:val="24"/>
        </w:rPr>
      </w:pPr>
    </w:p>
    <w:p w:rsidR="00A51FAE" w:rsidRDefault="00A51FAE">
      <w:pPr>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74"/>
        <w:gridCol w:w="3574"/>
      </w:tblGrid>
      <w:tr w:rsidR="00A51FAE">
        <w:trPr>
          <w:trHeight w:val="965"/>
        </w:trPr>
        <w:tc>
          <w:tcPr>
            <w:tcW w:w="3025" w:type="pct"/>
            <w:tcBorders>
              <w:right w:val="nil"/>
            </w:tcBorders>
          </w:tcPr>
          <w:p w:rsidR="00A51FAE" w:rsidRDefault="00A51FAE" w:rsidP="00442804"/>
          <w:p w:rsidR="00A51FAE" w:rsidRDefault="00A51FAE" w:rsidP="00442804">
            <w:r>
              <w:t>Ward Councillors notified:</w:t>
            </w:r>
          </w:p>
          <w:p w:rsidR="00A51FAE" w:rsidRDefault="00A51FAE" w:rsidP="00442804"/>
        </w:tc>
        <w:tc>
          <w:tcPr>
            <w:tcW w:w="1975" w:type="pct"/>
            <w:tcBorders>
              <w:left w:val="nil"/>
            </w:tcBorders>
          </w:tcPr>
          <w:p w:rsidR="00A51FAE" w:rsidRDefault="00A51FAE" w:rsidP="00442804"/>
          <w:p w:rsidR="00A51FAE" w:rsidRPr="00A406F3" w:rsidRDefault="00A51FAE" w:rsidP="00442804">
            <w:pPr>
              <w:rPr>
                <w:b/>
              </w:rPr>
            </w:pPr>
            <w:r w:rsidRPr="00A406F3">
              <w:rPr>
                <w:b/>
              </w:rPr>
              <w:t xml:space="preserve">NO </w:t>
            </w:r>
          </w:p>
          <w:p w:rsidR="00A51FAE" w:rsidRPr="003D78F6" w:rsidRDefault="00A51FAE" w:rsidP="00442804">
            <w:pPr>
              <w:rPr>
                <w:i/>
                <w:szCs w:val="24"/>
              </w:rPr>
            </w:pPr>
          </w:p>
        </w:tc>
      </w:tr>
    </w:tbl>
    <w:p w:rsidR="00A51FAE" w:rsidRPr="00A51FAE" w:rsidRDefault="00A51FAE">
      <w:pPr>
        <w:rPr>
          <w:szCs w:val="24"/>
        </w:rPr>
      </w:pPr>
    </w:p>
    <w:p w:rsidR="002A2389" w:rsidRDefault="002A2389" w:rsidP="008D1750">
      <w:pPr>
        <w:pStyle w:val="Heading1"/>
        <w:keepNext/>
      </w:pPr>
      <w:r>
        <w:lastRenderedPageBreak/>
        <w:t>Section 4 - Contact Details and Background Papers</w:t>
      </w:r>
    </w:p>
    <w:p w:rsidR="002A2389" w:rsidRDefault="002A2389"/>
    <w:p w:rsidR="002A2389" w:rsidRDefault="002A2389">
      <w:pPr>
        <w:pStyle w:val="Infotext"/>
      </w:pPr>
      <w:r w:rsidRPr="00D914D2">
        <w:rPr>
          <w:b/>
        </w:rPr>
        <w:t>Contact:</w:t>
      </w:r>
      <w:r>
        <w:t xml:space="preserve">  </w:t>
      </w:r>
      <w:r w:rsidR="00743F5E">
        <w:rPr>
          <w:rFonts w:cs="Arial"/>
          <w:sz w:val="24"/>
        </w:rPr>
        <w:t>Carole Furlo</w:t>
      </w:r>
      <w:r w:rsidR="00442804">
        <w:rPr>
          <w:rFonts w:cs="Arial"/>
          <w:sz w:val="24"/>
        </w:rPr>
        <w:t xml:space="preserve">ng, </w:t>
      </w:r>
      <w:r w:rsidR="001D0391">
        <w:rPr>
          <w:rFonts w:cs="Arial"/>
          <w:sz w:val="24"/>
        </w:rPr>
        <w:t xml:space="preserve">Designate Director of </w:t>
      </w:r>
      <w:r w:rsidR="00442804">
        <w:rPr>
          <w:rFonts w:cs="Arial"/>
          <w:sz w:val="24"/>
        </w:rPr>
        <w:t>Public Health</w:t>
      </w:r>
      <w:r w:rsidR="00743F5E">
        <w:rPr>
          <w:rFonts w:cs="Arial"/>
          <w:sz w:val="24"/>
        </w:rPr>
        <w:t xml:space="preserve">. Tel. 020 8420 9508; </w:t>
      </w:r>
    </w:p>
    <w:p w:rsidR="002A2389" w:rsidRDefault="002A2389"/>
    <w:p w:rsidR="00421AAE" w:rsidRDefault="002A2389" w:rsidP="004F7CF7">
      <w:pPr>
        <w:pStyle w:val="Infotext"/>
      </w:pPr>
      <w:r w:rsidRPr="00D914D2">
        <w:rPr>
          <w:b/>
        </w:rPr>
        <w:t>Background Papers</w:t>
      </w:r>
      <w:r>
        <w:t xml:space="preserve">:  </w:t>
      </w:r>
      <w:r w:rsidR="004F7CF7">
        <w:t>None</w:t>
      </w:r>
    </w:p>
    <w:sectPr w:rsidR="00421AAE" w:rsidSect="00442804">
      <w:type w:val="continuous"/>
      <w:pgSz w:w="11909" w:h="16834" w:code="9"/>
      <w:pgMar w:top="1008" w:right="1277" w:bottom="1152" w:left="1800" w:header="1008"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315" w:rsidRDefault="00261315">
      <w:r>
        <w:separator/>
      </w:r>
    </w:p>
  </w:endnote>
  <w:endnote w:type="continuationSeparator" w:id="0">
    <w:p w:rsidR="00261315" w:rsidRDefault="00261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5C0" w:rsidRDefault="00845ED1">
    <w:pPr>
      <w:pStyle w:val="Footer"/>
    </w:pPr>
    <w:r>
      <w:rPr>
        <w:noProof/>
        <w:lang w:val="en-GB" w:eastAsia="en-GB"/>
      </w:rPr>
      <w:drawing>
        <wp:anchor distT="0" distB="0" distL="114300" distR="114300" simplePos="0" relativeHeight="251657728" behindDoc="0" locked="1" layoutInCell="1" allowOverlap="0">
          <wp:simplePos x="0" y="0"/>
          <wp:positionH relativeFrom="column">
            <wp:posOffset>-1009650</wp:posOffset>
          </wp:positionH>
          <wp:positionV relativeFrom="page">
            <wp:posOffset>9152890</wp:posOffset>
          </wp:positionV>
          <wp:extent cx="7258050" cy="1306195"/>
          <wp:effectExtent l="0" t="0" r="0" b="8255"/>
          <wp:wrapSquare wrapText="bothSides"/>
          <wp:docPr id="5" name="Picture 5" descr="Ribb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ibbon_black"/>
                  <pic:cNvPicPr>
                    <a:picLocks noChangeAspect="1" noChangeArrowheads="1"/>
                  </pic:cNvPicPr>
                </pic:nvPicPr>
                <pic:blipFill>
                  <a:blip r:embed="rId1">
                    <a:extLst>
                      <a:ext uri="{28A0092B-C50C-407E-A947-70E740481C1C}">
                        <a14:useLocalDpi xmlns:a14="http://schemas.microsoft.com/office/drawing/2010/main" val="0"/>
                      </a:ext>
                    </a:extLst>
                  </a:blip>
                  <a:srcRect b="23915"/>
                  <a:stretch>
                    <a:fillRect/>
                  </a:stretch>
                </pic:blipFill>
                <pic:spPr bwMode="auto">
                  <a:xfrm>
                    <a:off x="0" y="0"/>
                    <a:ext cx="7258050" cy="13061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315" w:rsidRDefault="00261315">
      <w:r>
        <w:separator/>
      </w:r>
    </w:p>
  </w:footnote>
  <w:footnote w:type="continuationSeparator" w:id="0">
    <w:p w:rsidR="00261315" w:rsidRDefault="002613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B5F" w:rsidRDefault="00474B5F">
    <w:pPr>
      <w:pStyle w:val="Header"/>
    </w:pPr>
  </w:p>
  <w:p w:rsidR="00474B5F" w:rsidRDefault="00474B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77F52"/>
    <w:multiLevelType w:val="hybridMultilevel"/>
    <w:tmpl w:val="7F72C69C"/>
    <w:lvl w:ilvl="0" w:tplc="D73C90C0">
      <w:start w:val="1"/>
      <w:numFmt w:val="bullet"/>
      <w:lvlText w:val=""/>
      <w:lvlJc w:val="left"/>
      <w:pPr>
        <w:ind w:left="720" w:hanging="72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02715E34"/>
    <w:multiLevelType w:val="hybridMultilevel"/>
    <w:tmpl w:val="A94E864E"/>
    <w:lvl w:ilvl="0" w:tplc="C9F2CE5E">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342281C"/>
    <w:multiLevelType w:val="hybridMultilevel"/>
    <w:tmpl w:val="E594004A"/>
    <w:lvl w:ilvl="0" w:tplc="75F6ED5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41C51E3"/>
    <w:multiLevelType w:val="multilevel"/>
    <w:tmpl w:val="74485B0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21ED47E7"/>
    <w:multiLevelType w:val="hybridMultilevel"/>
    <w:tmpl w:val="8F985048"/>
    <w:lvl w:ilvl="0" w:tplc="D9763368">
      <w:start w:val="1"/>
      <w:numFmt w:val="decimal"/>
      <w:lvlText w:val="%1."/>
      <w:lvlJc w:val="left"/>
      <w:pPr>
        <w:ind w:left="720" w:hanging="360"/>
      </w:pPr>
      <w:rPr>
        <w:rFonts w:eastAsia="Calibri"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890685A"/>
    <w:multiLevelType w:val="hybridMultilevel"/>
    <w:tmpl w:val="8F985048"/>
    <w:lvl w:ilvl="0" w:tplc="D9763368">
      <w:start w:val="1"/>
      <w:numFmt w:val="decimal"/>
      <w:lvlText w:val="%1."/>
      <w:lvlJc w:val="left"/>
      <w:pPr>
        <w:ind w:left="720" w:hanging="360"/>
      </w:pPr>
      <w:rPr>
        <w:rFonts w:eastAsia="Calibri"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E4D69E1"/>
    <w:multiLevelType w:val="hybridMultilevel"/>
    <w:tmpl w:val="9416A38A"/>
    <w:lvl w:ilvl="0" w:tplc="C9F2CE5E">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2EC3A75"/>
    <w:multiLevelType w:val="hybridMultilevel"/>
    <w:tmpl w:val="B1F0EFC6"/>
    <w:lvl w:ilvl="0" w:tplc="2CE4AB7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3DC3909"/>
    <w:multiLevelType w:val="hybridMultilevel"/>
    <w:tmpl w:val="A9162E52"/>
    <w:lvl w:ilvl="0" w:tplc="113ECF8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6FF1C2D"/>
    <w:multiLevelType w:val="hybridMultilevel"/>
    <w:tmpl w:val="9416A38A"/>
    <w:lvl w:ilvl="0" w:tplc="C9F2CE5E">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72D7B8B"/>
    <w:multiLevelType w:val="hybridMultilevel"/>
    <w:tmpl w:val="AB461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A7613BC"/>
    <w:multiLevelType w:val="hybridMultilevel"/>
    <w:tmpl w:val="F30A4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13">
    <w:nsid w:val="4ACE77B3"/>
    <w:multiLevelType w:val="hybridMultilevel"/>
    <w:tmpl w:val="B92ED2E2"/>
    <w:lvl w:ilvl="0" w:tplc="E4E49048">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3925A81"/>
    <w:multiLevelType w:val="hybridMultilevel"/>
    <w:tmpl w:val="B83C7E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653028D4"/>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66ED68B9"/>
    <w:multiLevelType w:val="hybridMultilevel"/>
    <w:tmpl w:val="963C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78C2B0D"/>
    <w:multiLevelType w:val="multilevel"/>
    <w:tmpl w:val="74485B0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68455DD4"/>
    <w:multiLevelType w:val="hybridMultilevel"/>
    <w:tmpl w:val="8F985048"/>
    <w:lvl w:ilvl="0" w:tplc="D9763368">
      <w:start w:val="1"/>
      <w:numFmt w:val="decimal"/>
      <w:lvlText w:val="%1."/>
      <w:lvlJc w:val="left"/>
      <w:pPr>
        <w:ind w:left="720" w:hanging="360"/>
      </w:pPr>
      <w:rPr>
        <w:rFonts w:eastAsia="Calibri"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A615173"/>
    <w:multiLevelType w:val="hybridMultilevel"/>
    <w:tmpl w:val="1BF6F7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C490448"/>
    <w:multiLevelType w:val="hybridMultilevel"/>
    <w:tmpl w:val="CF962F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13"/>
  </w:num>
  <w:num w:numId="3">
    <w:abstractNumId w:val="15"/>
  </w:num>
  <w:num w:numId="4">
    <w:abstractNumId w:val="2"/>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2"/>
  </w:num>
  <w:num w:numId="8">
    <w:abstractNumId w:val="14"/>
  </w:num>
  <w:num w:numId="9">
    <w:abstractNumId w:val="3"/>
  </w:num>
  <w:num w:numId="10">
    <w:abstractNumId w:val="17"/>
  </w:num>
  <w:num w:numId="11">
    <w:abstractNumId w:val="19"/>
  </w:num>
  <w:num w:numId="12">
    <w:abstractNumId w:val="20"/>
  </w:num>
  <w:num w:numId="13">
    <w:abstractNumId w:val="9"/>
  </w:num>
  <w:num w:numId="14">
    <w:abstractNumId w:val="1"/>
  </w:num>
  <w:num w:numId="15">
    <w:abstractNumId w:val="0"/>
  </w:num>
  <w:num w:numId="16">
    <w:abstractNumId w:val="6"/>
  </w:num>
  <w:num w:numId="17">
    <w:abstractNumId w:val="7"/>
  </w:num>
  <w:num w:numId="18">
    <w:abstractNumId w:val="18"/>
  </w:num>
  <w:num w:numId="19">
    <w:abstractNumId w:val="5"/>
  </w:num>
  <w:num w:numId="20">
    <w:abstractNumId w:val="4"/>
  </w:num>
  <w:num w:numId="21">
    <w:abstractNumId w:val="11"/>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LastOpened" w:val="17/08/2017 16:37"/>
  </w:docVars>
  <w:rsids>
    <w:rsidRoot w:val="007E7303"/>
    <w:rsid w:val="000052B6"/>
    <w:rsid w:val="00012403"/>
    <w:rsid w:val="00036A30"/>
    <w:rsid w:val="00056A95"/>
    <w:rsid w:val="00057F10"/>
    <w:rsid w:val="00071EB4"/>
    <w:rsid w:val="0007431F"/>
    <w:rsid w:val="00077298"/>
    <w:rsid w:val="000B6DBB"/>
    <w:rsid w:val="000D2BF2"/>
    <w:rsid w:val="000F65C0"/>
    <w:rsid w:val="00122491"/>
    <w:rsid w:val="001273E0"/>
    <w:rsid w:val="001417FD"/>
    <w:rsid w:val="001939BA"/>
    <w:rsid w:val="001C5225"/>
    <w:rsid w:val="001D0391"/>
    <w:rsid w:val="001E0219"/>
    <w:rsid w:val="001F341E"/>
    <w:rsid w:val="0020797D"/>
    <w:rsid w:val="00231A1D"/>
    <w:rsid w:val="00255099"/>
    <w:rsid w:val="00261315"/>
    <w:rsid w:val="002962C4"/>
    <w:rsid w:val="00296F20"/>
    <w:rsid w:val="002A2389"/>
    <w:rsid w:val="002C08E2"/>
    <w:rsid w:val="002C1794"/>
    <w:rsid w:val="002E77E3"/>
    <w:rsid w:val="00306A74"/>
    <w:rsid w:val="003115B3"/>
    <w:rsid w:val="003152CF"/>
    <w:rsid w:val="00322427"/>
    <w:rsid w:val="003B6B15"/>
    <w:rsid w:val="003C0B16"/>
    <w:rsid w:val="003C0C2B"/>
    <w:rsid w:val="004213D7"/>
    <w:rsid w:val="00421AAE"/>
    <w:rsid w:val="0042394B"/>
    <w:rsid w:val="00442804"/>
    <w:rsid w:val="00470BE4"/>
    <w:rsid w:val="00473B08"/>
    <w:rsid w:val="00474B5F"/>
    <w:rsid w:val="00497DED"/>
    <w:rsid w:val="004B2C9D"/>
    <w:rsid w:val="004C2D29"/>
    <w:rsid w:val="004D1DE6"/>
    <w:rsid w:val="004D5D86"/>
    <w:rsid w:val="004E667D"/>
    <w:rsid w:val="004E6AF9"/>
    <w:rsid w:val="004F73CE"/>
    <w:rsid w:val="004F7CF7"/>
    <w:rsid w:val="00515605"/>
    <w:rsid w:val="00575B76"/>
    <w:rsid w:val="005861B4"/>
    <w:rsid w:val="005874F0"/>
    <w:rsid w:val="00591F82"/>
    <w:rsid w:val="00594D37"/>
    <w:rsid w:val="005E384D"/>
    <w:rsid w:val="005F2181"/>
    <w:rsid w:val="005F724B"/>
    <w:rsid w:val="00604323"/>
    <w:rsid w:val="00620644"/>
    <w:rsid w:val="0063072B"/>
    <w:rsid w:val="006327CA"/>
    <w:rsid w:val="00634097"/>
    <w:rsid w:val="006465F6"/>
    <w:rsid w:val="00662891"/>
    <w:rsid w:val="00665638"/>
    <w:rsid w:val="00670B58"/>
    <w:rsid w:val="00675FCB"/>
    <w:rsid w:val="006C3914"/>
    <w:rsid w:val="006C6963"/>
    <w:rsid w:val="006C7B29"/>
    <w:rsid w:val="007178B5"/>
    <w:rsid w:val="00720849"/>
    <w:rsid w:val="0074184E"/>
    <w:rsid w:val="00743F5E"/>
    <w:rsid w:val="00755630"/>
    <w:rsid w:val="00755F8D"/>
    <w:rsid w:val="00756BF7"/>
    <w:rsid w:val="00796503"/>
    <w:rsid w:val="007B09A2"/>
    <w:rsid w:val="007D56C8"/>
    <w:rsid w:val="007E7303"/>
    <w:rsid w:val="007F7B2F"/>
    <w:rsid w:val="00803162"/>
    <w:rsid w:val="008136B1"/>
    <w:rsid w:val="0081631B"/>
    <w:rsid w:val="008306DA"/>
    <w:rsid w:val="00834643"/>
    <w:rsid w:val="00845ED1"/>
    <w:rsid w:val="008D1750"/>
    <w:rsid w:val="008E1116"/>
    <w:rsid w:val="008E4913"/>
    <w:rsid w:val="008F4594"/>
    <w:rsid w:val="00900464"/>
    <w:rsid w:val="0090100E"/>
    <w:rsid w:val="00912CBE"/>
    <w:rsid w:val="0093767E"/>
    <w:rsid w:val="00972A02"/>
    <w:rsid w:val="0099517C"/>
    <w:rsid w:val="009B2ECD"/>
    <w:rsid w:val="009B7914"/>
    <w:rsid w:val="009F0B36"/>
    <w:rsid w:val="00A1396B"/>
    <w:rsid w:val="00A51FAE"/>
    <w:rsid w:val="00A566E7"/>
    <w:rsid w:val="00A613C1"/>
    <w:rsid w:val="00A7147B"/>
    <w:rsid w:val="00A72D10"/>
    <w:rsid w:val="00A76A21"/>
    <w:rsid w:val="00A940D3"/>
    <w:rsid w:val="00A96FCA"/>
    <w:rsid w:val="00AA3776"/>
    <w:rsid w:val="00AA4BE8"/>
    <w:rsid w:val="00AC203D"/>
    <w:rsid w:val="00AC2E65"/>
    <w:rsid w:val="00AC7BA9"/>
    <w:rsid w:val="00AE7D5E"/>
    <w:rsid w:val="00B0425E"/>
    <w:rsid w:val="00B34830"/>
    <w:rsid w:val="00B92AA6"/>
    <w:rsid w:val="00B9498A"/>
    <w:rsid w:val="00BD684A"/>
    <w:rsid w:val="00BE1C78"/>
    <w:rsid w:val="00BF6C06"/>
    <w:rsid w:val="00C32DAE"/>
    <w:rsid w:val="00C40E24"/>
    <w:rsid w:val="00C63AD4"/>
    <w:rsid w:val="00C73B3A"/>
    <w:rsid w:val="00C82CEC"/>
    <w:rsid w:val="00C96EF5"/>
    <w:rsid w:val="00CB1B2F"/>
    <w:rsid w:val="00D32B51"/>
    <w:rsid w:val="00D34145"/>
    <w:rsid w:val="00D34668"/>
    <w:rsid w:val="00D3740E"/>
    <w:rsid w:val="00D60A42"/>
    <w:rsid w:val="00D65076"/>
    <w:rsid w:val="00D82F57"/>
    <w:rsid w:val="00D841A5"/>
    <w:rsid w:val="00D914D2"/>
    <w:rsid w:val="00DA25DB"/>
    <w:rsid w:val="00DA52DA"/>
    <w:rsid w:val="00DB39E5"/>
    <w:rsid w:val="00DD4251"/>
    <w:rsid w:val="00DD58C1"/>
    <w:rsid w:val="00E02B50"/>
    <w:rsid w:val="00E03F11"/>
    <w:rsid w:val="00E06DC8"/>
    <w:rsid w:val="00E220B5"/>
    <w:rsid w:val="00E442FA"/>
    <w:rsid w:val="00E6661D"/>
    <w:rsid w:val="00EE0325"/>
    <w:rsid w:val="00F1344C"/>
    <w:rsid w:val="00F37C8A"/>
    <w:rsid w:val="00F4213B"/>
    <w:rsid w:val="00F849ED"/>
    <w:rsid w:val="00F92398"/>
    <w:rsid w:val="00FB534A"/>
    <w:rsid w:val="00FC4AE6"/>
    <w:rsid w:val="00FD31A0"/>
    <w:rsid w:val="00FF0DC1"/>
    <w:rsid w:val="00FF6AAD"/>
    <w:rsid w:val="00FF71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5099"/>
    <w:pPr>
      <w:spacing w:line="276" w:lineRule="auto"/>
    </w:pPr>
    <w:rPr>
      <w:rFonts w:ascii="Arial" w:hAnsi="Arial"/>
      <w:sz w:val="24"/>
      <w:lang w:eastAsia="en-US"/>
    </w:rPr>
  </w:style>
  <w:style w:type="paragraph" w:styleId="Heading1">
    <w:name w:val="heading 1"/>
    <w:basedOn w:val="Heading2"/>
    <w:next w:val="Normal"/>
    <w:qFormat/>
    <w:rsid w:val="00F92398"/>
    <w:pPr>
      <w:outlineLvl w:val="0"/>
    </w:pPr>
    <w:rPr>
      <w:rFonts w:ascii="Arial Black" w:hAnsi="Arial Black"/>
      <w:b w:val="0"/>
      <w:sz w:val="32"/>
    </w:rPr>
  </w:style>
  <w:style w:type="paragraph" w:styleId="Heading2">
    <w:name w:val="heading 2"/>
    <w:basedOn w:val="Normal"/>
    <w:next w:val="Normal"/>
    <w:qFormat/>
    <w:pPr>
      <w:outlineLvl w:val="1"/>
    </w:pPr>
    <w:rPr>
      <w:rFonts w:cs="Arial"/>
      <w:b/>
      <w:bCs/>
      <w:sz w:val="28"/>
      <w:szCs w:val="32"/>
    </w:rPr>
  </w:style>
  <w:style w:type="paragraph" w:styleId="Heading3">
    <w:name w:val="heading 3"/>
    <w:basedOn w:val="Normal"/>
    <w:next w:val="Normal"/>
    <w:qFormat/>
    <w:pPr>
      <w:ind w:left="720" w:hanging="720"/>
      <w:jc w:val="both"/>
      <w:outlineLvl w:val="2"/>
    </w:pPr>
    <w:rPr>
      <w:rFonts w:cs="Arial"/>
      <w:b/>
      <w:bCs/>
      <w:i/>
      <w:szCs w:val="28"/>
    </w:rPr>
  </w:style>
  <w:style w:type="paragraph" w:styleId="Heading4">
    <w:name w:val="heading 4"/>
    <w:basedOn w:val="Normal"/>
    <w:next w:val="Normal"/>
    <w:qFormat/>
    <w:pPr>
      <w:keepNext/>
      <w:outlineLvl w:val="3"/>
    </w:pPr>
    <w:rPr>
      <w:rFonts w:cs="Arial"/>
      <w:b/>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C32DAE"/>
    <w:pPr>
      <w:spacing w:before="100" w:beforeAutospacing="1" w:after="100" w:afterAutospacing="1"/>
    </w:pPr>
    <w:rPr>
      <w:rFonts w:ascii="Times New Roman" w:hAnsi="Times New Roman"/>
      <w:szCs w:val="24"/>
      <w:lang w:val="en-US"/>
    </w:rPr>
  </w:style>
  <w:style w:type="paragraph" w:customStyle="1" w:styleId="CharCharCharCharCharCharCharChar">
    <w:name w:val="Char Char Char Char Char Char Char Char"/>
    <w:basedOn w:val="Normal"/>
    <w:rsid w:val="001E0219"/>
    <w:pPr>
      <w:spacing w:after="160" w:line="240" w:lineRule="exact"/>
    </w:pPr>
    <w:rPr>
      <w:rFonts w:ascii="Tahoma" w:hAnsi="Tahoma"/>
      <w:sz w:val="20"/>
      <w:lang w:eastAsia="en-GB"/>
    </w:rPr>
  </w:style>
  <w:style w:type="paragraph" w:customStyle="1" w:styleId="CharCharCharChar2">
    <w:name w:val="Char Char Char Char2"/>
    <w:basedOn w:val="Normal"/>
    <w:locked/>
    <w:rsid w:val="00D34145"/>
    <w:pPr>
      <w:spacing w:after="160" w:line="240" w:lineRule="exact"/>
    </w:pPr>
    <w:rPr>
      <w:rFonts w:ascii="Verdana" w:eastAsia="MS ??" w:hAnsi="Verdana" w:cs="Verdana"/>
      <w:sz w:val="20"/>
      <w:lang w:val="en-US"/>
    </w:rPr>
  </w:style>
  <w:style w:type="paragraph" w:styleId="ListParagraph">
    <w:name w:val="List Paragraph"/>
    <w:basedOn w:val="Normal"/>
    <w:uiPriority w:val="34"/>
    <w:qFormat/>
    <w:rsid w:val="00E442FA"/>
    <w:pPr>
      <w:ind w:left="720"/>
    </w:pPr>
  </w:style>
  <w:style w:type="character" w:styleId="Hyperlink">
    <w:name w:val="Hyperlink"/>
    <w:rsid w:val="00743F5E"/>
    <w:rPr>
      <w:color w:val="0563C1"/>
      <w:u w:val="single"/>
    </w:rPr>
  </w:style>
  <w:style w:type="character" w:customStyle="1" w:styleId="UnresolvedMention">
    <w:name w:val="Unresolved Mention"/>
    <w:uiPriority w:val="99"/>
    <w:semiHidden/>
    <w:unhideWhenUsed/>
    <w:rsid w:val="00743F5E"/>
    <w:rPr>
      <w:color w:val="808080"/>
      <w:shd w:val="clear" w:color="auto" w:fill="E6E6E6"/>
    </w:rPr>
  </w:style>
  <w:style w:type="character" w:styleId="CommentReference">
    <w:name w:val="annotation reference"/>
    <w:rsid w:val="00755630"/>
    <w:rPr>
      <w:sz w:val="16"/>
      <w:szCs w:val="16"/>
    </w:rPr>
  </w:style>
  <w:style w:type="paragraph" w:styleId="CommentText">
    <w:name w:val="annotation text"/>
    <w:basedOn w:val="Normal"/>
    <w:link w:val="CommentTextChar"/>
    <w:rsid w:val="00755630"/>
    <w:rPr>
      <w:sz w:val="20"/>
    </w:rPr>
  </w:style>
  <w:style w:type="character" w:customStyle="1" w:styleId="CommentTextChar">
    <w:name w:val="Comment Text Char"/>
    <w:link w:val="CommentText"/>
    <w:rsid w:val="00755630"/>
    <w:rPr>
      <w:rFonts w:ascii="Arial" w:hAnsi="Arial"/>
      <w:lang w:eastAsia="en-US"/>
    </w:rPr>
  </w:style>
  <w:style w:type="paragraph" w:styleId="CommentSubject">
    <w:name w:val="annotation subject"/>
    <w:basedOn w:val="CommentText"/>
    <w:next w:val="CommentText"/>
    <w:link w:val="CommentSubjectChar"/>
    <w:rsid w:val="00755630"/>
    <w:rPr>
      <w:b/>
      <w:bCs/>
    </w:rPr>
  </w:style>
  <w:style w:type="character" w:customStyle="1" w:styleId="CommentSubjectChar">
    <w:name w:val="Comment Subject Char"/>
    <w:link w:val="CommentSubject"/>
    <w:rsid w:val="00755630"/>
    <w:rPr>
      <w:rFonts w:ascii="Arial" w:hAnsi="Arial"/>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5099"/>
    <w:pPr>
      <w:spacing w:line="276" w:lineRule="auto"/>
    </w:pPr>
    <w:rPr>
      <w:rFonts w:ascii="Arial" w:hAnsi="Arial"/>
      <w:sz w:val="24"/>
      <w:lang w:eastAsia="en-US"/>
    </w:rPr>
  </w:style>
  <w:style w:type="paragraph" w:styleId="Heading1">
    <w:name w:val="heading 1"/>
    <w:basedOn w:val="Heading2"/>
    <w:next w:val="Normal"/>
    <w:qFormat/>
    <w:rsid w:val="00F92398"/>
    <w:pPr>
      <w:outlineLvl w:val="0"/>
    </w:pPr>
    <w:rPr>
      <w:rFonts w:ascii="Arial Black" w:hAnsi="Arial Black"/>
      <w:b w:val="0"/>
      <w:sz w:val="32"/>
    </w:rPr>
  </w:style>
  <w:style w:type="paragraph" w:styleId="Heading2">
    <w:name w:val="heading 2"/>
    <w:basedOn w:val="Normal"/>
    <w:next w:val="Normal"/>
    <w:qFormat/>
    <w:pPr>
      <w:outlineLvl w:val="1"/>
    </w:pPr>
    <w:rPr>
      <w:rFonts w:cs="Arial"/>
      <w:b/>
      <w:bCs/>
      <w:sz w:val="28"/>
      <w:szCs w:val="32"/>
    </w:rPr>
  </w:style>
  <w:style w:type="paragraph" w:styleId="Heading3">
    <w:name w:val="heading 3"/>
    <w:basedOn w:val="Normal"/>
    <w:next w:val="Normal"/>
    <w:qFormat/>
    <w:pPr>
      <w:ind w:left="720" w:hanging="720"/>
      <w:jc w:val="both"/>
      <w:outlineLvl w:val="2"/>
    </w:pPr>
    <w:rPr>
      <w:rFonts w:cs="Arial"/>
      <w:b/>
      <w:bCs/>
      <w:i/>
      <w:szCs w:val="28"/>
    </w:rPr>
  </w:style>
  <w:style w:type="paragraph" w:styleId="Heading4">
    <w:name w:val="heading 4"/>
    <w:basedOn w:val="Normal"/>
    <w:next w:val="Normal"/>
    <w:qFormat/>
    <w:pPr>
      <w:keepNext/>
      <w:outlineLvl w:val="3"/>
    </w:pPr>
    <w:rPr>
      <w:rFonts w:cs="Arial"/>
      <w:b/>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C32DAE"/>
    <w:pPr>
      <w:spacing w:before="100" w:beforeAutospacing="1" w:after="100" w:afterAutospacing="1"/>
    </w:pPr>
    <w:rPr>
      <w:rFonts w:ascii="Times New Roman" w:hAnsi="Times New Roman"/>
      <w:szCs w:val="24"/>
      <w:lang w:val="en-US"/>
    </w:rPr>
  </w:style>
  <w:style w:type="paragraph" w:customStyle="1" w:styleId="CharCharCharCharCharCharCharChar">
    <w:name w:val="Char Char Char Char Char Char Char Char"/>
    <w:basedOn w:val="Normal"/>
    <w:rsid w:val="001E0219"/>
    <w:pPr>
      <w:spacing w:after="160" w:line="240" w:lineRule="exact"/>
    </w:pPr>
    <w:rPr>
      <w:rFonts w:ascii="Tahoma" w:hAnsi="Tahoma"/>
      <w:sz w:val="20"/>
      <w:lang w:eastAsia="en-GB"/>
    </w:rPr>
  </w:style>
  <w:style w:type="paragraph" w:customStyle="1" w:styleId="CharCharCharChar2">
    <w:name w:val="Char Char Char Char2"/>
    <w:basedOn w:val="Normal"/>
    <w:locked/>
    <w:rsid w:val="00D34145"/>
    <w:pPr>
      <w:spacing w:after="160" w:line="240" w:lineRule="exact"/>
    </w:pPr>
    <w:rPr>
      <w:rFonts w:ascii="Verdana" w:eastAsia="MS ??" w:hAnsi="Verdana" w:cs="Verdana"/>
      <w:sz w:val="20"/>
      <w:lang w:val="en-US"/>
    </w:rPr>
  </w:style>
  <w:style w:type="paragraph" w:styleId="ListParagraph">
    <w:name w:val="List Paragraph"/>
    <w:basedOn w:val="Normal"/>
    <w:uiPriority w:val="34"/>
    <w:qFormat/>
    <w:rsid w:val="00E442FA"/>
    <w:pPr>
      <w:ind w:left="720"/>
    </w:pPr>
  </w:style>
  <w:style w:type="character" w:styleId="Hyperlink">
    <w:name w:val="Hyperlink"/>
    <w:rsid w:val="00743F5E"/>
    <w:rPr>
      <w:color w:val="0563C1"/>
      <w:u w:val="single"/>
    </w:rPr>
  </w:style>
  <w:style w:type="character" w:customStyle="1" w:styleId="UnresolvedMention">
    <w:name w:val="Unresolved Mention"/>
    <w:uiPriority w:val="99"/>
    <w:semiHidden/>
    <w:unhideWhenUsed/>
    <w:rsid w:val="00743F5E"/>
    <w:rPr>
      <w:color w:val="808080"/>
      <w:shd w:val="clear" w:color="auto" w:fill="E6E6E6"/>
    </w:rPr>
  </w:style>
  <w:style w:type="character" w:styleId="CommentReference">
    <w:name w:val="annotation reference"/>
    <w:rsid w:val="00755630"/>
    <w:rPr>
      <w:sz w:val="16"/>
      <w:szCs w:val="16"/>
    </w:rPr>
  </w:style>
  <w:style w:type="paragraph" w:styleId="CommentText">
    <w:name w:val="annotation text"/>
    <w:basedOn w:val="Normal"/>
    <w:link w:val="CommentTextChar"/>
    <w:rsid w:val="00755630"/>
    <w:rPr>
      <w:sz w:val="20"/>
    </w:rPr>
  </w:style>
  <w:style w:type="character" w:customStyle="1" w:styleId="CommentTextChar">
    <w:name w:val="Comment Text Char"/>
    <w:link w:val="CommentText"/>
    <w:rsid w:val="00755630"/>
    <w:rPr>
      <w:rFonts w:ascii="Arial" w:hAnsi="Arial"/>
      <w:lang w:eastAsia="en-US"/>
    </w:rPr>
  </w:style>
  <w:style w:type="paragraph" w:styleId="CommentSubject">
    <w:name w:val="annotation subject"/>
    <w:basedOn w:val="CommentText"/>
    <w:next w:val="CommentText"/>
    <w:link w:val="CommentSubjectChar"/>
    <w:rsid w:val="00755630"/>
    <w:rPr>
      <w:b/>
      <w:bCs/>
    </w:rPr>
  </w:style>
  <w:style w:type="character" w:customStyle="1" w:styleId="CommentSubjectChar">
    <w:name w:val="Comment Subject Char"/>
    <w:link w:val="CommentSubject"/>
    <w:rsid w:val="00755630"/>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1164</Words>
  <Characters>6188</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Meeting:</vt:lpstr>
    </vt:vector>
  </TitlesOfParts>
  <Company>Harrow Council</Company>
  <LinksUpToDate>false</LinksUpToDate>
  <CharactersWithSpaces>7338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Harrow IT Services</dc:creator>
  <cp:lastModifiedBy>Miriam Wearing</cp:lastModifiedBy>
  <cp:revision>2</cp:revision>
  <cp:lastPrinted>2007-07-12T08:53:00Z</cp:lastPrinted>
  <dcterms:created xsi:type="dcterms:W3CDTF">2018-03-02T09:24:00Z</dcterms:created>
  <dcterms:modified xsi:type="dcterms:W3CDTF">2018-03-02T09:24:00Z</dcterms:modified>
</cp:coreProperties>
</file>